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05EF" w14:textId="26C10841" w:rsidR="00396927" w:rsidRPr="00396927" w:rsidRDefault="00925BB9" w:rsidP="001B1B89">
      <w:pPr>
        <w:rPr>
          <w:rFonts w:eastAsia="Calibri"/>
          <w:b/>
          <w:sz w:val="32"/>
        </w:rPr>
      </w:pPr>
      <w:r>
        <w:rPr>
          <w:b/>
          <w:bCs/>
          <w:noProof/>
          <w:color w:val="0070C0"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0DEAFAA1" wp14:editId="71228B66">
            <wp:simplePos x="0" y="0"/>
            <wp:positionH relativeFrom="column">
              <wp:posOffset>5674360</wp:posOffset>
            </wp:positionH>
            <wp:positionV relativeFrom="paragraph">
              <wp:posOffset>-164465</wp:posOffset>
            </wp:positionV>
            <wp:extent cx="1333500" cy="762000"/>
            <wp:effectExtent l="0" t="0" r="0" b="0"/>
            <wp:wrapNone/>
            <wp:docPr id="6" name="Image 6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927" w:rsidRPr="00396927">
        <w:rPr>
          <w:rFonts w:eastAsia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E0724" wp14:editId="582460C9">
                <wp:simplePos x="0" y="0"/>
                <wp:positionH relativeFrom="page">
                  <wp:align>right</wp:align>
                </wp:positionH>
                <wp:positionV relativeFrom="paragraph">
                  <wp:posOffset>-459740</wp:posOffset>
                </wp:positionV>
                <wp:extent cx="7562850" cy="15240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CB4DB0" w14:textId="2B2D61C9" w:rsidR="00396927" w:rsidRPr="001B1B89" w:rsidRDefault="001B1B89" w:rsidP="001B1B89">
                            <w:pPr>
                              <w:pStyle w:val="Titre11"/>
                              <w:jc w:val="center"/>
                              <w:rPr>
                                <w:rFonts w:asciiTheme="majorHAnsi" w:hAnsiTheme="majorHAnsi"/>
                                <w:b/>
                                <w:color w:val="FFFFFF"/>
                                <w:sz w:val="48"/>
                              </w:rPr>
                            </w:pPr>
                            <w:bookmarkStart w:id="0" w:name="_Toc190181102"/>
                            <w:bookmarkStart w:id="1" w:name="_Toc188523519"/>
                            <w:r w:rsidRPr="001B1B89">
                              <w:rPr>
                                <w:rFonts w:asciiTheme="majorHAnsi" w:hAnsiTheme="majorHAnsi"/>
                                <w:b/>
                                <w:color w:val="FFFFFF"/>
                                <w:sz w:val="48"/>
                              </w:rPr>
                              <w:t>Foire aux questions</w:t>
                            </w:r>
                            <w:bookmarkEnd w:id="0"/>
                          </w:p>
                          <w:p w14:paraId="7270328D" w14:textId="77777777" w:rsidR="00396927" w:rsidRPr="001B1B89" w:rsidRDefault="00396927" w:rsidP="001B1B89">
                            <w:pPr>
                              <w:pStyle w:val="Titre11"/>
                              <w:jc w:val="center"/>
                              <w:rPr>
                                <w:rFonts w:asciiTheme="majorHAnsi" w:hAnsiTheme="majorHAnsi"/>
                                <w:color w:val="FFFFFF"/>
                                <w:sz w:val="56"/>
                              </w:rPr>
                            </w:pPr>
                            <w:bookmarkStart w:id="2" w:name="_Toc190181103"/>
                            <w:r w:rsidRPr="001B1B89">
                              <w:rPr>
                                <w:rFonts w:asciiTheme="majorHAnsi" w:hAnsiTheme="majorHAnsi"/>
                                <w:color w:val="FFFFFF"/>
                              </w:rPr>
                              <w:t>Moins de déchets, ici c’est possible</w:t>
                            </w:r>
                            <w:r w:rsidRPr="001B1B89">
                              <w:rPr>
                                <w:rFonts w:asciiTheme="majorHAnsi" w:hAnsiTheme="majorHAnsi"/>
                                <w:color w:val="FFFFFF"/>
                                <w:sz w:val="56"/>
                              </w:rPr>
                              <w:br/>
                            </w:r>
                            <w:r w:rsidRPr="001B1B89">
                              <w:rPr>
                                <w:rFonts w:asciiTheme="majorHAnsi" w:hAnsiTheme="majorHAnsi"/>
                                <w:color w:val="FFFFFF"/>
                                <w:sz w:val="40"/>
                                <w:szCs w:val="56"/>
                              </w:rPr>
                              <w:t xml:space="preserve">- </w:t>
                            </w:r>
                            <w:r w:rsidR="0081401C" w:rsidRPr="001B1B89">
                              <w:rPr>
                                <w:rFonts w:asciiTheme="majorHAnsi" w:hAnsiTheme="majorHAnsi"/>
                                <w:color w:val="FFFFFF"/>
                                <w:sz w:val="40"/>
                                <w:szCs w:val="56"/>
                              </w:rPr>
                              <w:t xml:space="preserve">2025 </w:t>
                            </w:r>
                            <w:r w:rsidRPr="001B1B89">
                              <w:rPr>
                                <w:rFonts w:asciiTheme="majorHAnsi" w:hAnsiTheme="majorHAnsi"/>
                                <w:color w:val="FFFFFF"/>
                                <w:sz w:val="40"/>
                                <w:szCs w:val="56"/>
                              </w:rPr>
                              <w:t>-</w:t>
                            </w:r>
                            <w:bookmarkEnd w:id="2"/>
                          </w:p>
                          <w:p w14:paraId="55502E5A" w14:textId="77777777" w:rsidR="00CC2941" w:rsidRDefault="00CC2941" w:rsidP="001B1B89"/>
                          <w:p w14:paraId="08012137" w14:textId="77777777" w:rsidR="00396927" w:rsidRPr="009C2C81" w:rsidRDefault="001B1B89" w:rsidP="001B1B89">
                            <w:pPr>
                              <w:pStyle w:val="Titre11"/>
                            </w:pPr>
                            <w:bookmarkStart w:id="3" w:name="_Toc190181104"/>
                            <w:r>
                              <w:t>Foire aux questions</w:t>
                            </w:r>
                            <w:bookmarkEnd w:id="1"/>
                            <w:bookmarkEnd w:id="3"/>
                          </w:p>
                          <w:p w14:paraId="2E63F99F" w14:textId="26DE5EBF" w:rsidR="00396927" w:rsidRPr="009C2C81" w:rsidRDefault="00396927" w:rsidP="001B1B89">
                            <w:pPr>
                              <w:pStyle w:val="Titre11"/>
                              <w:rPr>
                                <w:sz w:val="56"/>
                              </w:rPr>
                            </w:pPr>
                            <w:bookmarkStart w:id="4" w:name="_Toc188523520"/>
                            <w:bookmarkStart w:id="5" w:name="_Toc190181105"/>
                            <w:r w:rsidRPr="009C2C81">
                              <w:t>Moins de déchets, ici c’est possible</w:t>
                            </w:r>
                            <w:r w:rsidRPr="009C2C81">
                              <w:rPr>
                                <w:sz w:val="56"/>
                              </w:rPr>
                              <w:br/>
                            </w:r>
                            <w:r w:rsidRPr="009C2C81">
                              <w:rPr>
                                <w:sz w:val="40"/>
                                <w:szCs w:val="56"/>
                              </w:rPr>
                              <w:t xml:space="preserve">- </w:t>
                            </w:r>
                            <w:r w:rsidR="0081401C" w:rsidRPr="009C2C81">
                              <w:rPr>
                                <w:sz w:val="40"/>
                                <w:szCs w:val="56"/>
                              </w:rPr>
                              <w:t xml:space="preserve">2025 </w:t>
                            </w:r>
                            <w:r w:rsidRPr="009C2C81">
                              <w:rPr>
                                <w:sz w:val="40"/>
                                <w:szCs w:val="56"/>
                              </w:rPr>
                              <w:t>-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E07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544.3pt;margin-top:-36.2pt;width:595.5pt;height:120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" filled="f" stroked="f" strokeweight=".5pt">
                <v:textbox>
                  <w:txbxContent>
                    <w:p w14:paraId="60CB4DB0" w14:textId="2B2D61C9" w:rsidR="00396927" w:rsidRPr="001B1B89" w:rsidRDefault="001B1B89" w:rsidP="001B1B89">
                      <w:pPr>
                        <w:pStyle w:val="Titre11"/>
                        <w:jc w:val="center"/>
                        <w:rPr>
                          <w:rFonts w:asciiTheme="majorHAnsi" w:hAnsiTheme="majorHAnsi"/>
                          <w:b/>
                          <w:color w:val="FFFFFF"/>
                          <w:sz w:val="48"/>
                        </w:rPr>
                      </w:pPr>
                      <w:bookmarkStart w:id="6" w:name="_Toc188523519"/>
                      <w:bookmarkStart w:id="7" w:name="_Toc190181102"/>
                      <w:r w:rsidRPr="001B1B89">
                        <w:rPr>
                          <w:rFonts w:asciiTheme="majorHAnsi" w:hAnsiTheme="majorHAnsi"/>
                          <w:b/>
                          <w:color w:val="FFFFFF"/>
                          <w:sz w:val="48"/>
                        </w:rPr>
                        <w:t>Foire aux questions</w:t>
                      </w:r>
                      <w:bookmarkEnd w:id="7"/>
                    </w:p>
                    <w:p w14:paraId="7270328D" w14:textId="77777777" w:rsidR="00396927" w:rsidRPr="001B1B89" w:rsidRDefault="00396927" w:rsidP="001B1B89">
                      <w:pPr>
                        <w:pStyle w:val="Titre11"/>
                        <w:jc w:val="center"/>
                        <w:rPr>
                          <w:rFonts w:asciiTheme="majorHAnsi" w:hAnsiTheme="majorHAnsi"/>
                          <w:color w:val="FFFFFF"/>
                          <w:sz w:val="56"/>
                        </w:rPr>
                      </w:pPr>
                      <w:bookmarkStart w:id="8" w:name="_Toc190181103"/>
                      <w:r w:rsidRPr="001B1B89">
                        <w:rPr>
                          <w:rFonts w:asciiTheme="majorHAnsi" w:hAnsiTheme="majorHAnsi"/>
                          <w:color w:val="FFFFFF"/>
                        </w:rPr>
                        <w:t>Moins de déchets, ici c’est possible</w:t>
                      </w:r>
                      <w:r w:rsidRPr="001B1B89">
                        <w:rPr>
                          <w:rFonts w:asciiTheme="majorHAnsi" w:hAnsiTheme="majorHAnsi"/>
                          <w:color w:val="FFFFFF"/>
                          <w:sz w:val="56"/>
                        </w:rPr>
                        <w:br/>
                      </w:r>
                      <w:r w:rsidRPr="001B1B89">
                        <w:rPr>
                          <w:rFonts w:asciiTheme="majorHAnsi" w:hAnsiTheme="majorHAnsi"/>
                          <w:color w:val="FFFFFF"/>
                          <w:sz w:val="40"/>
                          <w:szCs w:val="56"/>
                        </w:rPr>
                        <w:t xml:space="preserve">- </w:t>
                      </w:r>
                      <w:r w:rsidR="0081401C" w:rsidRPr="001B1B89">
                        <w:rPr>
                          <w:rFonts w:asciiTheme="majorHAnsi" w:hAnsiTheme="majorHAnsi"/>
                          <w:color w:val="FFFFFF"/>
                          <w:sz w:val="40"/>
                          <w:szCs w:val="56"/>
                        </w:rPr>
                        <w:t xml:space="preserve">2025 </w:t>
                      </w:r>
                      <w:r w:rsidRPr="001B1B89">
                        <w:rPr>
                          <w:rFonts w:asciiTheme="majorHAnsi" w:hAnsiTheme="majorHAnsi"/>
                          <w:color w:val="FFFFFF"/>
                          <w:sz w:val="40"/>
                          <w:szCs w:val="56"/>
                        </w:rPr>
                        <w:t>-</w:t>
                      </w:r>
                      <w:bookmarkEnd w:id="8"/>
                    </w:p>
                    <w:p w14:paraId="55502E5A" w14:textId="77777777" w:rsidR="00CC2941" w:rsidRDefault="00CC2941" w:rsidP="001B1B89"/>
                    <w:p w14:paraId="08012137" w14:textId="77777777" w:rsidR="00396927" w:rsidRPr="009C2C81" w:rsidRDefault="001B1B89" w:rsidP="001B1B89">
                      <w:pPr>
                        <w:pStyle w:val="Titre11"/>
                      </w:pPr>
                      <w:bookmarkStart w:id="9" w:name="_Toc190181104"/>
                      <w:r>
                        <w:t>Foire aux questions</w:t>
                      </w:r>
                      <w:bookmarkEnd w:id="6"/>
                      <w:bookmarkEnd w:id="9"/>
                    </w:p>
                    <w:p w14:paraId="2E63F99F" w14:textId="26DE5EBF" w:rsidR="00396927" w:rsidRPr="009C2C81" w:rsidRDefault="00396927" w:rsidP="001B1B89">
                      <w:pPr>
                        <w:pStyle w:val="Titre11"/>
                        <w:rPr>
                          <w:sz w:val="56"/>
                        </w:rPr>
                      </w:pPr>
                      <w:bookmarkStart w:id="10" w:name="_Toc188523520"/>
                      <w:bookmarkStart w:id="11" w:name="_Toc190181105"/>
                      <w:r w:rsidRPr="009C2C81">
                        <w:t>Moins de déchets, ici c’est possible</w:t>
                      </w:r>
                      <w:r w:rsidRPr="009C2C81">
                        <w:rPr>
                          <w:sz w:val="56"/>
                        </w:rPr>
                        <w:br/>
                      </w:r>
                      <w:r w:rsidRPr="009C2C81">
                        <w:rPr>
                          <w:sz w:val="40"/>
                          <w:szCs w:val="56"/>
                        </w:rPr>
                        <w:t xml:space="preserve">- </w:t>
                      </w:r>
                      <w:r w:rsidR="0081401C" w:rsidRPr="009C2C81">
                        <w:rPr>
                          <w:sz w:val="40"/>
                          <w:szCs w:val="56"/>
                        </w:rPr>
                        <w:t xml:space="preserve">2025 </w:t>
                      </w:r>
                      <w:r w:rsidRPr="009C2C81">
                        <w:rPr>
                          <w:sz w:val="40"/>
                          <w:szCs w:val="56"/>
                        </w:rPr>
                        <w:t>-</w:t>
                      </w:r>
                      <w:bookmarkEnd w:id="10"/>
                      <w:bookmarkEnd w:id="11"/>
                    </w:p>
                  </w:txbxContent>
                </v:textbox>
                <w10:wrap anchorx="page"/>
              </v:shape>
            </w:pict>
          </mc:Fallback>
        </mc:AlternateContent>
      </w:r>
      <w:r w:rsidR="00396927" w:rsidRPr="00396927">
        <w:rPr>
          <w:rFonts w:eastAsia="Calibri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59FB10B" wp14:editId="2D86C2BA">
            <wp:simplePos x="0" y="0"/>
            <wp:positionH relativeFrom="column">
              <wp:posOffset>-266700</wp:posOffset>
            </wp:positionH>
            <wp:positionV relativeFrom="paragraph">
              <wp:posOffset>-266700</wp:posOffset>
            </wp:positionV>
            <wp:extent cx="730250" cy="730250"/>
            <wp:effectExtent l="0" t="0" r="0" b="0"/>
            <wp:wrapNone/>
            <wp:docPr id="39" name="Image 39" descr="CUCM_Signe_EXE_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 descr="CUCM_Signe_EXE_BLANC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927" w:rsidRPr="00396927">
        <w:rPr>
          <w:rFonts w:eastAsia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1DC2F" wp14:editId="4D88B62A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7562850" cy="1536700"/>
                <wp:effectExtent l="0" t="0" r="0" b="63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536700"/>
                        </a:xfrm>
                        <a:prstGeom prst="rect">
                          <a:avLst/>
                        </a:prstGeom>
                        <a:solidFill>
                          <a:srgbClr val="0F32B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6256C" id="Rectangle 34" o:spid="_x0000_s1026" style="position:absolute;margin-left:-36pt;margin-top:-36pt;width:595.5pt;height:1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" fillcolor="#0f32b4" stroked="f" strokeweight="1pt"/>
            </w:pict>
          </mc:Fallback>
        </mc:AlternateContent>
      </w:r>
    </w:p>
    <w:p w14:paraId="2C4285A1" w14:textId="4680E066" w:rsidR="00396927" w:rsidRPr="00396927" w:rsidRDefault="00396927" w:rsidP="001B1B89">
      <w:pPr>
        <w:rPr>
          <w:rFonts w:eastAsia="Calibri"/>
        </w:rPr>
      </w:pPr>
    </w:p>
    <w:p w14:paraId="0F0D493C" w14:textId="41FBC106" w:rsidR="00396927" w:rsidRPr="00396927" w:rsidRDefault="00396927" w:rsidP="001B1B89">
      <w:pPr>
        <w:rPr>
          <w:rFonts w:eastAsia="Calibri"/>
        </w:rPr>
      </w:pPr>
      <w:r w:rsidRPr="00396927">
        <w:rPr>
          <w:rFonts w:eastAsia="Calibri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10C140DA" wp14:editId="02FCF2C1">
            <wp:simplePos x="0" y="0"/>
            <wp:positionH relativeFrom="column">
              <wp:posOffset>6208270</wp:posOffset>
            </wp:positionH>
            <wp:positionV relativeFrom="paragraph">
              <wp:posOffset>68410</wp:posOffset>
            </wp:positionV>
            <wp:extent cx="651510" cy="408305"/>
            <wp:effectExtent l="159702" t="49848" r="136843" b="60642"/>
            <wp:wrapNone/>
            <wp:docPr id="40" name="Image 40" descr="C:\Users\bertonil\AppData\Local\Microsoft\Windows\INetCache\Content.Word\signe_allongé_jau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 descr="C:\Users\bertonil\AppData\Local\Microsoft\Windows\INetCache\Content.Word\signe_allongé_jaune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210763">
                      <a:off x="0" y="0"/>
                      <a:ext cx="65151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BF2AD0" w14:textId="7055F18D" w:rsidR="00396927" w:rsidRPr="00396927" w:rsidRDefault="00396927" w:rsidP="001B1B89"/>
    <w:p w14:paraId="302D65EA" w14:textId="2E970569" w:rsidR="00FB71D1" w:rsidRDefault="00FB71D1" w:rsidP="001B1B89"/>
    <w:p w14:paraId="44E6C9CA" w14:textId="23F91C57" w:rsidR="001B1B89" w:rsidRDefault="001B1B89" w:rsidP="001B1B89"/>
    <w:sdt>
      <w:sdtPr>
        <w:rPr>
          <w:rFonts w:ascii="IBM Plex Sans" w:eastAsia="Times New Roman" w:hAnsi="IBM Plex Sans" w:cs="Times New Roman"/>
          <w:b/>
          <w:color w:val="0F32B4"/>
          <w:spacing w:val="0"/>
          <w:kern w:val="0"/>
          <w:sz w:val="22"/>
          <w:szCs w:val="22"/>
        </w:rPr>
        <w:id w:val="-1481682831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14:paraId="04CF8656" w14:textId="32326EFA" w:rsidR="009C6205" w:rsidRPr="0083736C" w:rsidRDefault="009C6205" w:rsidP="0083736C">
          <w:pPr>
            <w:pStyle w:val="Titre"/>
            <w:rPr>
              <w:color w:val="07195A" w:themeColor="background1" w:themeShade="80"/>
              <w:sz w:val="48"/>
            </w:rPr>
          </w:pPr>
          <w:r w:rsidRPr="0083736C">
            <w:rPr>
              <w:color w:val="07195A" w:themeColor="background1" w:themeShade="80"/>
              <w:sz w:val="48"/>
            </w:rPr>
            <w:t>Table des matières</w:t>
          </w:r>
        </w:p>
        <w:p w14:paraId="417B3040" w14:textId="7A3289FB" w:rsidR="0083736C" w:rsidRPr="0083736C" w:rsidRDefault="009C6205">
          <w:pPr>
            <w:pStyle w:val="TM1"/>
            <w:rPr>
              <w:rFonts w:cstheme="minorBidi"/>
              <w:color w:val="07195A" w:themeColor="background1" w:themeShade="80"/>
              <w:sz w:val="22"/>
              <w:lang w:eastAsia="fr-FR"/>
            </w:rPr>
          </w:pPr>
          <w:r w:rsidRPr="0083736C">
            <w:rPr>
              <w:color w:val="07195A" w:themeColor="background1" w:themeShade="80"/>
            </w:rPr>
            <w:fldChar w:fldCharType="begin"/>
          </w:r>
          <w:r w:rsidRPr="0083736C">
            <w:rPr>
              <w:color w:val="07195A" w:themeColor="background1" w:themeShade="80"/>
            </w:rPr>
            <w:instrText xml:space="preserve"> TOC \o "1-3" \h \z \u </w:instrText>
          </w:r>
          <w:r w:rsidRPr="0083736C">
            <w:rPr>
              <w:color w:val="07195A" w:themeColor="background1" w:themeShade="80"/>
            </w:rPr>
            <w:fldChar w:fldCharType="separate"/>
          </w:r>
          <w:hyperlink r:id="rId12" w:anchor="_Toc190181102" w:history="1">
            <w:r w:rsidR="0083736C" w:rsidRPr="0083736C">
              <w:rPr>
                <w:rStyle w:val="Lienhypertexte"/>
                <w:b/>
                <w:color w:val="07195A" w:themeColor="background1" w:themeShade="80"/>
              </w:rPr>
              <w:t>Foire aux questions</w:t>
            </w:r>
            <w:r w:rsidR="0083736C" w:rsidRPr="0083736C">
              <w:rPr>
                <w:webHidden/>
                <w:color w:val="07195A" w:themeColor="background1" w:themeShade="80"/>
              </w:rPr>
              <w:tab/>
            </w:r>
            <w:r w:rsidR="0083736C" w:rsidRPr="0083736C">
              <w:rPr>
                <w:webHidden/>
                <w:color w:val="07195A" w:themeColor="background1" w:themeShade="80"/>
              </w:rPr>
              <w:fldChar w:fldCharType="begin"/>
            </w:r>
            <w:r w:rsidR="0083736C" w:rsidRPr="0083736C">
              <w:rPr>
                <w:webHidden/>
                <w:color w:val="07195A" w:themeColor="background1" w:themeShade="80"/>
              </w:rPr>
              <w:instrText xml:space="preserve"> PAGEREF _Toc190181102 \h </w:instrText>
            </w:r>
            <w:r w:rsidR="0083736C" w:rsidRPr="0083736C">
              <w:rPr>
                <w:webHidden/>
                <w:color w:val="07195A" w:themeColor="background1" w:themeShade="80"/>
              </w:rPr>
            </w:r>
            <w:r w:rsidR="0083736C" w:rsidRPr="0083736C">
              <w:rPr>
                <w:webHidden/>
                <w:color w:val="07195A" w:themeColor="background1" w:themeShade="80"/>
              </w:rPr>
              <w:fldChar w:fldCharType="separate"/>
            </w:r>
            <w:r w:rsidR="0083736C" w:rsidRPr="0083736C">
              <w:rPr>
                <w:webHidden/>
                <w:color w:val="07195A" w:themeColor="background1" w:themeShade="80"/>
              </w:rPr>
              <w:t>1</w:t>
            </w:r>
            <w:r w:rsidR="0083736C" w:rsidRPr="0083736C">
              <w:rPr>
                <w:webHidden/>
                <w:color w:val="07195A" w:themeColor="background1" w:themeShade="80"/>
              </w:rPr>
              <w:fldChar w:fldCharType="end"/>
            </w:r>
          </w:hyperlink>
        </w:p>
        <w:p w14:paraId="2DF6EBF4" w14:textId="17219659" w:rsidR="0083736C" w:rsidRPr="0083736C" w:rsidRDefault="0083736C">
          <w:pPr>
            <w:pStyle w:val="TM1"/>
            <w:rPr>
              <w:rFonts w:cstheme="minorBidi"/>
              <w:color w:val="07195A" w:themeColor="background1" w:themeShade="80"/>
              <w:sz w:val="22"/>
              <w:lang w:eastAsia="fr-FR"/>
            </w:rPr>
          </w:pPr>
          <w:hyperlink r:id="rId13" w:anchor="_Toc190181103" w:history="1">
            <w:r w:rsidRPr="0083736C">
              <w:rPr>
                <w:rStyle w:val="Lienhypertexte"/>
                <w:color w:val="07195A" w:themeColor="background1" w:themeShade="80"/>
              </w:rPr>
              <w:t>Moins de déchets, ici c’est possible - 2025 -</w:t>
            </w:r>
            <w:r w:rsidRPr="0083736C">
              <w:rPr>
                <w:webHidden/>
                <w:color w:val="07195A" w:themeColor="background1" w:themeShade="80"/>
              </w:rPr>
              <w:tab/>
            </w:r>
            <w:r w:rsidRPr="0083736C">
              <w:rPr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webHidden/>
                <w:color w:val="07195A" w:themeColor="background1" w:themeShade="80"/>
              </w:rPr>
              <w:instrText xml:space="preserve"> PAGEREF _Toc190181103 \h </w:instrText>
            </w:r>
            <w:r w:rsidRPr="0083736C">
              <w:rPr>
                <w:webHidden/>
                <w:color w:val="07195A" w:themeColor="background1" w:themeShade="80"/>
              </w:rPr>
            </w:r>
            <w:r w:rsidRPr="0083736C">
              <w:rPr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webHidden/>
                <w:color w:val="07195A" w:themeColor="background1" w:themeShade="80"/>
              </w:rPr>
              <w:t>1</w:t>
            </w:r>
            <w:r w:rsidRPr="0083736C">
              <w:rPr>
                <w:webHidden/>
                <w:color w:val="07195A" w:themeColor="background1" w:themeShade="80"/>
              </w:rPr>
              <w:fldChar w:fldCharType="end"/>
            </w:r>
          </w:hyperlink>
        </w:p>
        <w:p w14:paraId="74C6CE46" w14:textId="418B8D5E" w:rsidR="0083736C" w:rsidRPr="0083736C" w:rsidRDefault="0083736C">
          <w:pPr>
            <w:pStyle w:val="TM1"/>
            <w:rPr>
              <w:rFonts w:cstheme="minorBidi"/>
              <w:color w:val="07195A" w:themeColor="background1" w:themeShade="80"/>
              <w:sz w:val="22"/>
              <w:lang w:eastAsia="fr-FR"/>
            </w:rPr>
          </w:pPr>
          <w:hyperlink r:id="rId14" w:anchor="_Toc190181104" w:history="1">
            <w:r w:rsidRPr="0083736C">
              <w:rPr>
                <w:rStyle w:val="Lienhypertexte"/>
                <w:color w:val="07195A" w:themeColor="background1" w:themeShade="80"/>
              </w:rPr>
              <w:t>Foire aux questions</w:t>
            </w:r>
            <w:r w:rsidRPr="0083736C">
              <w:rPr>
                <w:webHidden/>
                <w:color w:val="07195A" w:themeColor="background1" w:themeShade="80"/>
              </w:rPr>
              <w:tab/>
            </w:r>
            <w:r w:rsidRPr="0083736C">
              <w:rPr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webHidden/>
                <w:color w:val="07195A" w:themeColor="background1" w:themeShade="80"/>
              </w:rPr>
              <w:instrText xml:space="preserve"> PAGEREF _Toc190181104 \h </w:instrText>
            </w:r>
            <w:r w:rsidRPr="0083736C">
              <w:rPr>
                <w:webHidden/>
                <w:color w:val="07195A" w:themeColor="background1" w:themeShade="80"/>
              </w:rPr>
            </w:r>
            <w:r w:rsidRPr="0083736C">
              <w:rPr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webHidden/>
                <w:color w:val="07195A" w:themeColor="background1" w:themeShade="80"/>
              </w:rPr>
              <w:t>1</w:t>
            </w:r>
            <w:r w:rsidRPr="0083736C">
              <w:rPr>
                <w:webHidden/>
                <w:color w:val="07195A" w:themeColor="background1" w:themeShade="80"/>
              </w:rPr>
              <w:fldChar w:fldCharType="end"/>
            </w:r>
          </w:hyperlink>
        </w:p>
        <w:p w14:paraId="09E43D15" w14:textId="2307E93E" w:rsidR="0083736C" w:rsidRPr="0083736C" w:rsidRDefault="0083736C">
          <w:pPr>
            <w:pStyle w:val="TM1"/>
            <w:rPr>
              <w:rFonts w:cstheme="minorBidi"/>
              <w:color w:val="07195A" w:themeColor="background1" w:themeShade="80"/>
              <w:sz w:val="22"/>
              <w:lang w:eastAsia="fr-FR"/>
            </w:rPr>
          </w:pPr>
          <w:hyperlink r:id="rId15" w:anchor="_Toc190181105" w:history="1">
            <w:r w:rsidRPr="0083736C">
              <w:rPr>
                <w:rStyle w:val="Lienhypertexte"/>
                <w:color w:val="07195A" w:themeColor="background1" w:themeShade="80"/>
              </w:rPr>
              <w:t>Moins de déchets, ici c’est possible - 2025 -</w:t>
            </w:r>
            <w:r w:rsidRPr="0083736C">
              <w:rPr>
                <w:webHidden/>
                <w:color w:val="07195A" w:themeColor="background1" w:themeShade="80"/>
              </w:rPr>
              <w:tab/>
            </w:r>
            <w:r w:rsidRPr="0083736C">
              <w:rPr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webHidden/>
                <w:color w:val="07195A" w:themeColor="background1" w:themeShade="80"/>
              </w:rPr>
              <w:instrText xml:space="preserve"> PAGEREF _Toc190181105 \h </w:instrText>
            </w:r>
            <w:r w:rsidRPr="0083736C">
              <w:rPr>
                <w:webHidden/>
                <w:color w:val="07195A" w:themeColor="background1" w:themeShade="80"/>
              </w:rPr>
            </w:r>
            <w:r w:rsidRPr="0083736C">
              <w:rPr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webHidden/>
                <w:color w:val="07195A" w:themeColor="background1" w:themeShade="80"/>
              </w:rPr>
              <w:t>1</w:t>
            </w:r>
            <w:r w:rsidRPr="0083736C">
              <w:rPr>
                <w:webHidden/>
                <w:color w:val="07195A" w:themeColor="background1" w:themeShade="80"/>
              </w:rPr>
              <w:fldChar w:fldCharType="end"/>
            </w:r>
          </w:hyperlink>
        </w:p>
        <w:p w14:paraId="1408069A" w14:textId="4E5498F4" w:rsidR="0083736C" w:rsidRPr="0083736C" w:rsidRDefault="0083736C">
          <w:pPr>
            <w:pStyle w:val="TM1"/>
            <w:rPr>
              <w:rFonts w:cstheme="minorBidi"/>
              <w:color w:val="07195A" w:themeColor="background1" w:themeShade="80"/>
              <w:sz w:val="22"/>
              <w:lang w:eastAsia="fr-FR"/>
            </w:rPr>
          </w:pPr>
          <w:hyperlink w:anchor="_Toc190181106" w:history="1">
            <w:r w:rsidRPr="0083736C">
              <w:rPr>
                <w:rFonts w:cstheme="minorBidi"/>
                <w:color w:val="07195A" w:themeColor="background1" w:themeShade="80"/>
                <w:sz w:val="22"/>
                <w:lang w:eastAsia="fr-FR"/>
              </w:rPr>
              <w:tab/>
            </w:r>
            <w:r w:rsidRPr="0083736C">
              <w:rPr>
                <w:rStyle w:val="Lienhypertexte"/>
                <w:color w:val="07195A" w:themeColor="background1" w:themeShade="80"/>
              </w:rPr>
              <w:t>Volet 1 : L’animation d’ateliers grand public de prévention des déchets</w:t>
            </w:r>
            <w:r w:rsidRPr="0083736C">
              <w:rPr>
                <w:webHidden/>
                <w:color w:val="07195A" w:themeColor="background1" w:themeShade="80"/>
              </w:rPr>
              <w:tab/>
            </w:r>
            <w:r w:rsidRPr="0083736C">
              <w:rPr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webHidden/>
                <w:color w:val="07195A" w:themeColor="background1" w:themeShade="80"/>
              </w:rPr>
              <w:instrText xml:space="preserve"> PAGEREF _Toc190181106 \h </w:instrText>
            </w:r>
            <w:r w:rsidRPr="0083736C">
              <w:rPr>
                <w:webHidden/>
                <w:color w:val="07195A" w:themeColor="background1" w:themeShade="80"/>
              </w:rPr>
            </w:r>
            <w:r w:rsidRPr="0083736C">
              <w:rPr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webHidden/>
                <w:color w:val="07195A" w:themeColor="background1" w:themeShade="80"/>
              </w:rPr>
              <w:t>2</w:t>
            </w:r>
            <w:r w:rsidRPr="0083736C">
              <w:rPr>
                <w:webHidden/>
                <w:color w:val="07195A" w:themeColor="background1" w:themeShade="80"/>
              </w:rPr>
              <w:fldChar w:fldCharType="end"/>
            </w:r>
          </w:hyperlink>
        </w:p>
        <w:p w14:paraId="12F20FB9" w14:textId="12EB9D15" w:rsidR="0083736C" w:rsidRPr="0083736C" w:rsidRDefault="0083736C">
          <w:pPr>
            <w:pStyle w:val="TM2"/>
            <w:tabs>
              <w:tab w:val="right" w:leader="dot" w:pos="9770"/>
            </w:tabs>
            <w:rPr>
              <w:rFonts w:asciiTheme="majorHAnsi" w:hAnsiTheme="majorHAnsi" w:cstheme="minorBidi"/>
              <w:noProof/>
              <w:color w:val="07195A" w:themeColor="background1" w:themeShade="80"/>
            </w:rPr>
          </w:pPr>
          <w:hyperlink w:anchor="_Toc190181107" w:history="1">
            <w:r w:rsidRPr="0083736C">
              <w:rPr>
                <w:rStyle w:val="Lienhypertexte"/>
                <w:rFonts w:asciiTheme="majorHAnsi" w:hAnsiTheme="majorHAnsi"/>
                <w:noProof/>
                <w:color w:val="07195A" w:themeColor="background1" w:themeShade="80"/>
              </w:rPr>
              <w:t>En quoi consiste ce volet ?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ab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instrText xml:space="preserve"> PAGEREF _Toc190181107 \h </w:instrTex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>2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end"/>
            </w:r>
          </w:hyperlink>
        </w:p>
        <w:p w14:paraId="6B51F483" w14:textId="7EED3F6A" w:rsidR="0083736C" w:rsidRPr="0083736C" w:rsidRDefault="0083736C">
          <w:pPr>
            <w:pStyle w:val="TM2"/>
            <w:tabs>
              <w:tab w:val="right" w:leader="dot" w:pos="9770"/>
            </w:tabs>
            <w:rPr>
              <w:rFonts w:asciiTheme="majorHAnsi" w:hAnsiTheme="majorHAnsi" w:cstheme="minorBidi"/>
              <w:noProof/>
              <w:color w:val="07195A" w:themeColor="background1" w:themeShade="80"/>
            </w:rPr>
          </w:pPr>
          <w:hyperlink w:anchor="_Toc190181108" w:history="1">
            <w:r w:rsidRPr="0083736C">
              <w:rPr>
                <w:rStyle w:val="Lienhypertexte"/>
                <w:rFonts w:asciiTheme="majorHAnsi" w:hAnsiTheme="majorHAnsi"/>
                <w:noProof/>
                <w:color w:val="07195A" w:themeColor="background1" w:themeShade="80"/>
              </w:rPr>
              <w:t>À qui s’adresse ce volet ?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ab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instrText xml:space="preserve"> PAGEREF _Toc190181108 \h </w:instrTex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>2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end"/>
            </w:r>
          </w:hyperlink>
        </w:p>
        <w:p w14:paraId="421E2A4B" w14:textId="1C56E8A3" w:rsidR="0083736C" w:rsidRPr="0083736C" w:rsidRDefault="0083736C">
          <w:pPr>
            <w:pStyle w:val="TM2"/>
            <w:tabs>
              <w:tab w:val="right" w:leader="dot" w:pos="9770"/>
            </w:tabs>
            <w:rPr>
              <w:rFonts w:asciiTheme="majorHAnsi" w:hAnsiTheme="majorHAnsi" w:cstheme="minorBidi"/>
              <w:noProof/>
              <w:color w:val="07195A" w:themeColor="background1" w:themeShade="80"/>
            </w:rPr>
          </w:pPr>
          <w:hyperlink w:anchor="_Toc190181109" w:history="1">
            <w:r w:rsidRPr="0083736C">
              <w:rPr>
                <w:rStyle w:val="Lienhypertexte"/>
                <w:rFonts w:asciiTheme="majorHAnsi" w:hAnsiTheme="majorHAnsi"/>
                <w:noProof/>
                <w:color w:val="07195A" w:themeColor="background1" w:themeShade="80"/>
              </w:rPr>
              <w:t>Quelles sont les animations éligibles ?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ab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instrText xml:space="preserve"> PAGEREF _Toc190181109 \h </w:instrTex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>2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end"/>
            </w:r>
          </w:hyperlink>
        </w:p>
        <w:p w14:paraId="1A495DE2" w14:textId="75B04DDB" w:rsidR="0083736C" w:rsidRPr="0083736C" w:rsidRDefault="0083736C">
          <w:pPr>
            <w:pStyle w:val="TM2"/>
            <w:tabs>
              <w:tab w:val="right" w:leader="dot" w:pos="9770"/>
            </w:tabs>
            <w:rPr>
              <w:rFonts w:asciiTheme="majorHAnsi" w:hAnsiTheme="majorHAnsi" w:cstheme="minorBidi"/>
              <w:noProof/>
              <w:color w:val="07195A" w:themeColor="background1" w:themeShade="80"/>
            </w:rPr>
          </w:pPr>
          <w:hyperlink w:anchor="_Toc190181110" w:history="1">
            <w:r w:rsidRPr="0083736C">
              <w:rPr>
                <w:rStyle w:val="Lienhypertexte"/>
                <w:rFonts w:asciiTheme="majorHAnsi" w:hAnsiTheme="majorHAnsi"/>
                <w:noProof/>
                <w:color w:val="07195A" w:themeColor="background1" w:themeShade="80"/>
              </w:rPr>
              <w:t>Quels sont les soutiens financiers ?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ab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instrText xml:space="preserve"> PAGEREF _Toc190181110 \h </w:instrTex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>3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end"/>
            </w:r>
          </w:hyperlink>
        </w:p>
        <w:p w14:paraId="0BA36A64" w14:textId="7E1B71DF" w:rsidR="0083736C" w:rsidRPr="0083736C" w:rsidRDefault="0083736C">
          <w:pPr>
            <w:pStyle w:val="TM1"/>
            <w:rPr>
              <w:rFonts w:cstheme="minorBidi"/>
              <w:color w:val="07195A" w:themeColor="background1" w:themeShade="80"/>
              <w:sz w:val="22"/>
              <w:lang w:eastAsia="fr-FR"/>
            </w:rPr>
          </w:pPr>
          <w:hyperlink w:anchor="_Toc190181111" w:history="1">
            <w:r w:rsidRPr="0083736C">
              <w:rPr>
                <w:rFonts w:cstheme="minorBidi"/>
                <w:color w:val="07195A" w:themeColor="background1" w:themeShade="80"/>
                <w:sz w:val="22"/>
                <w:lang w:eastAsia="fr-FR"/>
              </w:rPr>
              <w:tab/>
            </w:r>
            <w:r w:rsidRPr="0083736C">
              <w:rPr>
                <w:rStyle w:val="Lienhypertexte"/>
                <w:color w:val="07195A" w:themeColor="background1" w:themeShade="80"/>
              </w:rPr>
              <w:t>Volet 2 : Projets de réduction et/ou réemploi</w:t>
            </w:r>
            <w:r w:rsidRPr="0083736C">
              <w:rPr>
                <w:webHidden/>
                <w:color w:val="07195A" w:themeColor="background1" w:themeShade="80"/>
              </w:rPr>
              <w:tab/>
            </w:r>
            <w:r w:rsidRPr="0083736C">
              <w:rPr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webHidden/>
                <w:color w:val="07195A" w:themeColor="background1" w:themeShade="80"/>
              </w:rPr>
              <w:instrText xml:space="preserve"> PAGEREF _Toc190181111 \h </w:instrText>
            </w:r>
            <w:r w:rsidRPr="0083736C">
              <w:rPr>
                <w:webHidden/>
                <w:color w:val="07195A" w:themeColor="background1" w:themeShade="80"/>
              </w:rPr>
            </w:r>
            <w:r w:rsidRPr="0083736C">
              <w:rPr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webHidden/>
                <w:color w:val="07195A" w:themeColor="background1" w:themeShade="80"/>
              </w:rPr>
              <w:t>3</w:t>
            </w:r>
            <w:r w:rsidRPr="0083736C">
              <w:rPr>
                <w:webHidden/>
                <w:color w:val="07195A" w:themeColor="background1" w:themeShade="80"/>
              </w:rPr>
              <w:fldChar w:fldCharType="end"/>
            </w:r>
          </w:hyperlink>
        </w:p>
        <w:p w14:paraId="17353627" w14:textId="709D6160" w:rsidR="0083736C" w:rsidRPr="0083736C" w:rsidRDefault="0083736C">
          <w:pPr>
            <w:pStyle w:val="TM2"/>
            <w:tabs>
              <w:tab w:val="right" w:leader="dot" w:pos="9770"/>
            </w:tabs>
            <w:rPr>
              <w:rFonts w:asciiTheme="majorHAnsi" w:hAnsiTheme="majorHAnsi" w:cstheme="minorBidi"/>
              <w:noProof/>
              <w:color w:val="07195A" w:themeColor="background1" w:themeShade="80"/>
            </w:rPr>
          </w:pPr>
          <w:hyperlink w:anchor="_Toc190181112" w:history="1">
            <w:r w:rsidRPr="0083736C">
              <w:rPr>
                <w:rStyle w:val="Lienhypertexte"/>
                <w:rFonts w:asciiTheme="majorHAnsi" w:hAnsiTheme="majorHAnsi"/>
                <w:noProof/>
                <w:color w:val="07195A" w:themeColor="background1" w:themeShade="80"/>
              </w:rPr>
              <w:t>En quoi consiste ce volet ?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ab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instrText xml:space="preserve"> PAGEREF _Toc190181112 \h </w:instrTex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>3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end"/>
            </w:r>
          </w:hyperlink>
        </w:p>
        <w:p w14:paraId="6F6B3601" w14:textId="3A96F867" w:rsidR="0083736C" w:rsidRPr="0083736C" w:rsidRDefault="0083736C">
          <w:pPr>
            <w:pStyle w:val="TM2"/>
            <w:tabs>
              <w:tab w:val="right" w:leader="dot" w:pos="9770"/>
            </w:tabs>
            <w:rPr>
              <w:rFonts w:asciiTheme="majorHAnsi" w:hAnsiTheme="majorHAnsi" w:cstheme="minorBidi"/>
              <w:noProof/>
              <w:color w:val="07195A" w:themeColor="background1" w:themeShade="80"/>
            </w:rPr>
          </w:pPr>
          <w:hyperlink w:anchor="_Toc190181113" w:history="1">
            <w:r w:rsidRPr="0083736C">
              <w:rPr>
                <w:rStyle w:val="Lienhypertexte"/>
                <w:rFonts w:asciiTheme="majorHAnsi" w:hAnsiTheme="majorHAnsi"/>
                <w:noProof/>
                <w:color w:val="07195A" w:themeColor="background1" w:themeShade="80"/>
              </w:rPr>
              <w:t>À qui s’adresse ce volet ?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ab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instrText xml:space="preserve"> PAGEREF _Toc190181113 \h </w:instrTex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>3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end"/>
            </w:r>
          </w:hyperlink>
        </w:p>
        <w:p w14:paraId="7F03BB45" w14:textId="55695B84" w:rsidR="0083736C" w:rsidRPr="0083736C" w:rsidRDefault="0083736C">
          <w:pPr>
            <w:pStyle w:val="TM2"/>
            <w:tabs>
              <w:tab w:val="right" w:leader="dot" w:pos="9770"/>
            </w:tabs>
            <w:rPr>
              <w:rFonts w:asciiTheme="majorHAnsi" w:hAnsiTheme="majorHAnsi" w:cstheme="minorBidi"/>
              <w:noProof/>
              <w:color w:val="07195A" w:themeColor="background1" w:themeShade="80"/>
            </w:rPr>
          </w:pPr>
          <w:hyperlink w:anchor="_Toc190181114" w:history="1">
            <w:r w:rsidRPr="0083736C">
              <w:rPr>
                <w:rStyle w:val="Lienhypertexte"/>
                <w:rFonts w:asciiTheme="majorHAnsi" w:hAnsiTheme="majorHAnsi"/>
                <w:noProof/>
                <w:color w:val="07195A" w:themeColor="background1" w:themeShade="80"/>
              </w:rPr>
              <w:t>Quelles sont les initiatives éligibles ?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ab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instrText xml:space="preserve"> PAGEREF _Toc190181114 \h </w:instrTex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>3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end"/>
            </w:r>
          </w:hyperlink>
        </w:p>
        <w:p w14:paraId="4D345075" w14:textId="1D35F3B5" w:rsidR="0083736C" w:rsidRPr="0083736C" w:rsidRDefault="0083736C">
          <w:pPr>
            <w:pStyle w:val="TM2"/>
            <w:tabs>
              <w:tab w:val="right" w:leader="dot" w:pos="9770"/>
            </w:tabs>
            <w:rPr>
              <w:rFonts w:asciiTheme="majorHAnsi" w:hAnsiTheme="majorHAnsi" w:cstheme="minorBidi"/>
              <w:noProof/>
              <w:color w:val="07195A" w:themeColor="background1" w:themeShade="80"/>
            </w:rPr>
          </w:pPr>
          <w:hyperlink w:anchor="_Toc190181115" w:history="1">
            <w:r w:rsidRPr="0083736C">
              <w:rPr>
                <w:rStyle w:val="Lienhypertexte"/>
                <w:rFonts w:asciiTheme="majorHAnsi" w:hAnsiTheme="majorHAnsi"/>
                <w:noProof/>
                <w:color w:val="07195A" w:themeColor="background1" w:themeShade="80"/>
              </w:rPr>
              <w:t>Quels sont les soutiens financiers ?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ab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instrText xml:space="preserve"> PAGEREF _Toc190181115 \h </w:instrTex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t>3</w:t>
            </w:r>
            <w:r w:rsidRPr="0083736C">
              <w:rPr>
                <w:rFonts w:asciiTheme="majorHAnsi" w:hAnsiTheme="majorHAnsi"/>
                <w:noProof/>
                <w:webHidden/>
                <w:color w:val="07195A" w:themeColor="background1" w:themeShade="80"/>
              </w:rPr>
              <w:fldChar w:fldCharType="end"/>
            </w:r>
          </w:hyperlink>
        </w:p>
        <w:p w14:paraId="6AFF8539" w14:textId="7921BFAB" w:rsidR="0083736C" w:rsidRPr="0083736C" w:rsidRDefault="0083736C">
          <w:pPr>
            <w:pStyle w:val="TM1"/>
            <w:rPr>
              <w:rFonts w:cstheme="minorBidi"/>
              <w:color w:val="07195A" w:themeColor="background1" w:themeShade="80"/>
              <w:sz w:val="22"/>
              <w:lang w:eastAsia="fr-FR"/>
            </w:rPr>
          </w:pPr>
          <w:hyperlink w:anchor="_Toc190181116" w:history="1">
            <w:r w:rsidRPr="0083736C">
              <w:rPr>
                <w:rFonts w:cstheme="minorBidi"/>
                <w:color w:val="07195A" w:themeColor="background1" w:themeShade="80"/>
                <w:sz w:val="22"/>
                <w:lang w:eastAsia="fr-FR"/>
              </w:rPr>
              <w:tab/>
            </w:r>
            <w:r w:rsidRPr="0083736C">
              <w:rPr>
                <w:rStyle w:val="Lienhypertexte"/>
                <w:color w:val="07195A" w:themeColor="background1" w:themeShade="80"/>
              </w:rPr>
              <w:t>Comment participer ?</w:t>
            </w:r>
            <w:r w:rsidRPr="0083736C">
              <w:rPr>
                <w:webHidden/>
                <w:color w:val="07195A" w:themeColor="background1" w:themeShade="80"/>
              </w:rPr>
              <w:tab/>
            </w:r>
            <w:r w:rsidRPr="0083736C">
              <w:rPr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webHidden/>
                <w:color w:val="07195A" w:themeColor="background1" w:themeShade="80"/>
              </w:rPr>
              <w:instrText xml:space="preserve"> PAGEREF _Toc190181116 \h </w:instrText>
            </w:r>
            <w:r w:rsidRPr="0083736C">
              <w:rPr>
                <w:webHidden/>
                <w:color w:val="07195A" w:themeColor="background1" w:themeShade="80"/>
              </w:rPr>
            </w:r>
            <w:r w:rsidRPr="0083736C">
              <w:rPr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webHidden/>
                <w:color w:val="07195A" w:themeColor="background1" w:themeShade="80"/>
              </w:rPr>
              <w:t>4</w:t>
            </w:r>
            <w:r w:rsidRPr="0083736C">
              <w:rPr>
                <w:webHidden/>
                <w:color w:val="07195A" w:themeColor="background1" w:themeShade="80"/>
              </w:rPr>
              <w:fldChar w:fldCharType="end"/>
            </w:r>
          </w:hyperlink>
        </w:p>
        <w:p w14:paraId="67A6CB0C" w14:textId="4D2C2533" w:rsidR="0083736C" w:rsidRPr="0083736C" w:rsidRDefault="0083736C">
          <w:pPr>
            <w:pStyle w:val="TM1"/>
            <w:rPr>
              <w:rFonts w:cstheme="minorBidi"/>
              <w:color w:val="07195A" w:themeColor="background1" w:themeShade="80"/>
              <w:sz w:val="22"/>
              <w:lang w:eastAsia="fr-FR"/>
            </w:rPr>
          </w:pPr>
          <w:hyperlink w:anchor="_Toc190181117" w:history="1">
            <w:r w:rsidRPr="0083736C">
              <w:rPr>
                <w:rFonts w:cstheme="minorBidi"/>
                <w:color w:val="07195A" w:themeColor="background1" w:themeShade="80"/>
                <w:sz w:val="22"/>
                <w:lang w:eastAsia="fr-FR"/>
              </w:rPr>
              <w:tab/>
            </w:r>
            <w:r w:rsidRPr="0083736C">
              <w:rPr>
                <w:rStyle w:val="Lienhypertexte"/>
                <w:color w:val="07195A" w:themeColor="background1" w:themeShade="80"/>
              </w:rPr>
              <w:t>Calendrier prévisionnel</w:t>
            </w:r>
            <w:r w:rsidRPr="0083736C">
              <w:rPr>
                <w:webHidden/>
                <w:color w:val="07195A" w:themeColor="background1" w:themeShade="80"/>
              </w:rPr>
              <w:tab/>
            </w:r>
            <w:r w:rsidRPr="0083736C">
              <w:rPr>
                <w:webHidden/>
                <w:color w:val="07195A" w:themeColor="background1" w:themeShade="80"/>
              </w:rPr>
              <w:fldChar w:fldCharType="begin"/>
            </w:r>
            <w:r w:rsidRPr="0083736C">
              <w:rPr>
                <w:webHidden/>
                <w:color w:val="07195A" w:themeColor="background1" w:themeShade="80"/>
              </w:rPr>
              <w:instrText xml:space="preserve"> PAGEREF _Toc190181117 \h </w:instrText>
            </w:r>
            <w:r w:rsidRPr="0083736C">
              <w:rPr>
                <w:webHidden/>
                <w:color w:val="07195A" w:themeColor="background1" w:themeShade="80"/>
              </w:rPr>
            </w:r>
            <w:r w:rsidRPr="0083736C">
              <w:rPr>
                <w:webHidden/>
                <w:color w:val="07195A" w:themeColor="background1" w:themeShade="80"/>
              </w:rPr>
              <w:fldChar w:fldCharType="separate"/>
            </w:r>
            <w:r w:rsidRPr="0083736C">
              <w:rPr>
                <w:webHidden/>
                <w:color w:val="07195A" w:themeColor="background1" w:themeShade="80"/>
              </w:rPr>
              <w:t>4</w:t>
            </w:r>
            <w:r w:rsidRPr="0083736C">
              <w:rPr>
                <w:webHidden/>
                <w:color w:val="07195A" w:themeColor="background1" w:themeShade="80"/>
              </w:rPr>
              <w:fldChar w:fldCharType="end"/>
            </w:r>
          </w:hyperlink>
        </w:p>
        <w:p w14:paraId="286137D5" w14:textId="594D79BF" w:rsidR="009C6205" w:rsidRDefault="009C6205">
          <w:r w:rsidRPr="0083736C">
            <w:rPr>
              <w:rFonts w:asciiTheme="majorHAnsi" w:hAnsiTheme="majorHAnsi"/>
              <w:b/>
              <w:bCs/>
              <w:color w:val="07195A" w:themeColor="background1" w:themeShade="80"/>
            </w:rPr>
            <w:fldChar w:fldCharType="end"/>
          </w:r>
        </w:p>
      </w:sdtContent>
    </w:sdt>
    <w:p w14:paraId="28EB3435" w14:textId="566454C1" w:rsidR="001B1B89" w:rsidRPr="001B1B89" w:rsidRDefault="001B1B89" w:rsidP="001B1B89">
      <w:r w:rsidRPr="001B1B89">
        <w:br w:type="page"/>
      </w:r>
    </w:p>
    <w:p w14:paraId="06060D81" w14:textId="52C39926" w:rsidR="001B1B89" w:rsidRPr="0083736C" w:rsidRDefault="001B1B89" w:rsidP="0083736C">
      <w:pPr>
        <w:pStyle w:val="Titre1"/>
      </w:pPr>
      <w:bookmarkStart w:id="6" w:name="_Toc190181106"/>
      <w:r w:rsidRPr="0083736C">
        <w:lastRenderedPageBreak/>
        <w:t>Volet 1 : L’animation d’ateliers grand public de prévention des déchets</w:t>
      </w:r>
      <w:bookmarkEnd w:id="6"/>
    </w:p>
    <w:p w14:paraId="6D5D39CB" w14:textId="77777777" w:rsidR="001B1B89" w:rsidRPr="0083736C" w:rsidRDefault="001B1B89" w:rsidP="001B1B89">
      <w:pPr>
        <w:pStyle w:val="CorpsCUCM21"/>
        <w:rPr>
          <w:color w:val="07195A" w:themeColor="background1" w:themeShade="80"/>
        </w:rPr>
      </w:pPr>
    </w:p>
    <w:p w14:paraId="2929630F" w14:textId="1D05D192" w:rsidR="001B1B89" w:rsidRPr="0083736C" w:rsidRDefault="001B1B89" w:rsidP="0083736C">
      <w:pPr>
        <w:pStyle w:val="Titre2"/>
      </w:pPr>
      <w:bookmarkStart w:id="7" w:name="_Toc190181107"/>
      <w:r w:rsidRPr="0083736C">
        <w:t>En quoi consiste ce volet ?</w:t>
      </w:r>
      <w:bookmarkEnd w:id="7"/>
    </w:p>
    <w:p w14:paraId="1CCD1234" w14:textId="77777777" w:rsidR="001B1B89" w:rsidRPr="0083736C" w:rsidRDefault="001B1B89" w:rsidP="00F57205">
      <w:pPr>
        <w:jc w:val="both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Ce volet vise à soutenir des actions locales permettant une sensibilisation accrue du grand public à la réduction des déchets et à encourager des changements de comportement, notamment au niveau des habitudes de consommation.</w:t>
      </w:r>
    </w:p>
    <w:p w14:paraId="0240060C" w14:textId="5E3FA69E" w:rsidR="001B1B89" w:rsidRPr="0083736C" w:rsidRDefault="001B1B89" w:rsidP="0083736C">
      <w:pPr>
        <w:pStyle w:val="Titre2"/>
      </w:pPr>
      <w:bookmarkStart w:id="8" w:name="_Toc190181108"/>
      <w:r w:rsidRPr="0083736C">
        <w:t>À qui s’adresse ce volet ?</w:t>
      </w:r>
      <w:bookmarkEnd w:id="8"/>
    </w:p>
    <w:p w14:paraId="6D34B3D4" w14:textId="77777777" w:rsidR="001B1B89" w:rsidRPr="0083736C" w:rsidRDefault="001B1B89" w:rsidP="001B1B89">
      <w:pPr>
        <w:pStyle w:val="Titre3CUCM21"/>
        <w:rPr>
          <w:b w:val="0"/>
          <w:color w:val="07195A" w:themeColor="background1" w:themeShade="80"/>
          <w:u w:val="none"/>
        </w:rPr>
      </w:pPr>
      <w:r w:rsidRPr="0083736C">
        <w:rPr>
          <w:b w:val="0"/>
          <w:color w:val="07195A" w:themeColor="background1" w:themeShade="80"/>
          <w:u w:val="none"/>
        </w:rPr>
        <w:t>Les structures éligibles sont :</w:t>
      </w:r>
    </w:p>
    <w:p w14:paraId="19E3B213" w14:textId="77777777" w:rsidR="001B1B89" w:rsidRPr="0083736C" w:rsidRDefault="001B1B89" w:rsidP="0083736C">
      <w:pPr>
        <w:pStyle w:val="Paragraphedeliste"/>
        <w:numPr>
          <w:ilvl w:val="0"/>
          <w:numId w:val="35"/>
        </w:numPr>
        <w:jc w:val="both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associations,</w:t>
      </w:r>
    </w:p>
    <w:p w14:paraId="4F33363A" w14:textId="77777777" w:rsidR="001B1B89" w:rsidRPr="0083736C" w:rsidRDefault="001B1B89" w:rsidP="0083736C">
      <w:pPr>
        <w:pStyle w:val="Paragraphedeliste"/>
        <w:numPr>
          <w:ilvl w:val="0"/>
          <w:numId w:val="35"/>
        </w:numPr>
        <w:jc w:val="both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coopératives,</w:t>
      </w:r>
    </w:p>
    <w:p w14:paraId="7AB4392A" w14:textId="77777777" w:rsidR="001B1B89" w:rsidRPr="0083736C" w:rsidRDefault="001B1B89" w:rsidP="0083736C">
      <w:pPr>
        <w:pStyle w:val="Paragraphedeliste"/>
        <w:numPr>
          <w:ilvl w:val="0"/>
          <w:numId w:val="35"/>
        </w:numPr>
        <w:jc w:val="both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mutuelles ou unions relevant du code de la mutualité ou sociétés d'assurance mutuelles relevant du code des assurances,</w:t>
      </w:r>
    </w:p>
    <w:p w14:paraId="6F020840" w14:textId="77777777" w:rsidR="001B1B89" w:rsidRPr="0083736C" w:rsidRDefault="001B1B89" w:rsidP="0083736C">
      <w:pPr>
        <w:pStyle w:val="Paragraphedeliste"/>
        <w:numPr>
          <w:ilvl w:val="0"/>
          <w:numId w:val="35"/>
        </w:numPr>
        <w:jc w:val="both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fondations,</w:t>
      </w:r>
    </w:p>
    <w:p w14:paraId="3C03732A" w14:textId="77777777" w:rsidR="001B1B89" w:rsidRPr="0083736C" w:rsidRDefault="001B1B89" w:rsidP="0083736C">
      <w:pPr>
        <w:pStyle w:val="Paragraphedeliste"/>
        <w:numPr>
          <w:ilvl w:val="0"/>
          <w:numId w:val="35"/>
        </w:numPr>
        <w:jc w:val="both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sociétés commerciales qui recherchent une utilité sociale et qui, aux termes de leurs statuts, remplissent les conditions définies dans l’article 1 de la loi n° 2014-856 du 31 juillet 2014 relative à l’économie sociale et solidaire.</w:t>
      </w:r>
    </w:p>
    <w:p w14:paraId="6B65EC18" w14:textId="77777777" w:rsidR="001B1B89" w:rsidRPr="0083736C" w:rsidRDefault="001B1B89" w:rsidP="0083736C">
      <w:pPr>
        <w:pStyle w:val="Paragraphedeliste"/>
        <w:numPr>
          <w:ilvl w:val="0"/>
          <w:numId w:val="35"/>
        </w:numPr>
        <w:jc w:val="both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structures publiques, leurs émanations ainsi que les structures scolaires sont exclues de ce volet.</w:t>
      </w:r>
    </w:p>
    <w:p w14:paraId="401F4CC1" w14:textId="6FA7298B" w:rsidR="001B1B89" w:rsidRPr="0083736C" w:rsidRDefault="001B1B89" w:rsidP="0083736C">
      <w:pPr>
        <w:pStyle w:val="Titre2"/>
      </w:pPr>
      <w:bookmarkStart w:id="9" w:name="_Toc190181109"/>
      <w:r w:rsidRPr="0083736C">
        <w:t>Quelles sont les animations éligibles ?</w:t>
      </w:r>
      <w:bookmarkEnd w:id="9"/>
    </w:p>
    <w:p w14:paraId="0BD061A8" w14:textId="77777777" w:rsidR="001B1B89" w:rsidRPr="0083736C" w:rsidRDefault="001B1B89" w:rsidP="001B1B89">
      <w:pPr>
        <w:pStyle w:val="Titre3CUCM21"/>
        <w:rPr>
          <w:b w:val="0"/>
          <w:color w:val="07195A" w:themeColor="background1" w:themeShade="80"/>
          <w:u w:val="none"/>
        </w:rPr>
      </w:pPr>
      <w:r w:rsidRPr="0083736C">
        <w:rPr>
          <w:b w:val="0"/>
          <w:color w:val="07195A" w:themeColor="background1" w:themeShade="80"/>
          <w:u w:val="none"/>
        </w:rPr>
        <w:t>Les actions éligibles incluent notamment :</w:t>
      </w:r>
    </w:p>
    <w:p w14:paraId="543F1FD4" w14:textId="77777777" w:rsidR="001B1B89" w:rsidRPr="0083736C" w:rsidRDefault="001B1B89" w:rsidP="001B1B89">
      <w:pPr>
        <w:pStyle w:val="Paragraphedeliste"/>
        <w:numPr>
          <w:ilvl w:val="0"/>
          <w:numId w:val="27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L’organisation d’éco-événements,</w:t>
      </w:r>
    </w:p>
    <w:p w14:paraId="14B4F1E4" w14:textId="77777777" w:rsidR="001B1B89" w:rsidRPr="0083736C" w:rsidRDefault="001B1B89" w:rsidP="001B1B89">
      <w:pPr>
        <w:pStyle w:val="Paragraphedeliste"/>
        <w:numPr>
          <w:ilvl w:val="0"/>
          <w:numId w:val="27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Des formations au compostage,</w:t>
      </w:r>
    </w:p>
    <w:p w14:paraId="7CB0848D" w14:textId="77777777" w:rsidR="001B1B89" w:rsidRPr="0083736C" w:rsidRDefault="001B1B89" w:rsidP="001B1B89">
      <w:pPr>
        <w:pStyle w:val="Paragraphedeliste"/>
        <w:numPr>
          <w:ilvl w:val="0"/>
          <w:numId w:val="27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La création de produits ménagers,</w:t>
      </w:r>
    </w:p>
    <w:p w14:paraId="1ADA156D" w14:textId="77777777" w:rsidR="001B1B89" w:rsidRPr="0083736C" w:rsidRDefault="001B1B89" w:rsidP="001B1B89">
      <w:pPr>
        <w:pStyle w:val="Paragraphedeliste"/>
        <w:numPr>
          <w:ilvl w:val="0"/>
          <w:numId w:val="27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L’organisation d’opérations comme le « Caddy malin »,</w:t>
      </w:r>
    </w:p>
    <w:p w14:paraId="3B74C858" w14:textId="77777777" w:rsidR="001B1B89" w:rsidRPr="0083736C" w:rsidRDefault="001B1B89" w:rsidP="001B1B89">
      <w:pPr>
        <w:pStyle w:val="Paragraphedeliste"/>
        <w:numPr>
          <w:ilvl w:val="0"/>
          <w:numId w:val="27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Des actions de sensibilisation lors de la SERD (Semaine Européenne de la Réduction des Déchets),</w:t>
      </w:r>
    </w:p>
    <w:p w14:paraId="0A36B855" w14:textId="77777777" w:rsidR="001B1B89" w:rsidRPr="0083736C" w:rsidRDefault="001B1B89" w:rsidP="001B1B89">
      <w:pPr>
        <w:pStyle w:val="Paragraphedeliste"/>
        <w:numPr>
          <w:ilvl w:val="0"/>
          <w:numId w:val="27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La tenue de conférences ou expositions.</w:t>
      </w:r>
    </w:p>
    <w:p w14:paraId="704A389E" w14:textId="7038C6FF" w:rsidR="001B1B89" w:rsidRPr="0083736C" w:rsidRDefault="001B1B89" w:rsidP="001B1B89">
      <w:pPr>
        <w:pStyle w:val="Paragraphedeliste"/>
        <w:numPr>
          <w:ilvl w:val="0"/>
          <w:numId w:val="27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Ces actions doivent mobiliser en priorité le grand public et inclure des évaluations de satisfaction en fin d’animation.</w:t>
      </w:r>
    </w:p>
    <w:p w14:paraId="3E21684B" w14:textId="77777777" w:rsidR="0083736C" w:rsidRPr="0083736C" w:rsidRDefault="0083736C" w:rsidP="0083736C">
      <w:pPr>
        <w:ind w:left="360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projets, les entités porteuses ainsi que leurs éventuels partenaires doivent être en conformité avec la réglementation.</w:t>
      </w:r>
    </w:p>
    <w:p w14:paraId="22AADFE9" w14:textId="77777777" w:rsidR="0083736C" w:rsidRPr="0083736C" w:rsidRDefault="0083736C" w:rsidP="0083736C">
      <w:pPr>
        <w:ind w:left="360"/>
        <w:rPr>
          <w:b/>
          <w:color w:val="07195A" w:themeColor="background1" w:themeShade="80"/>
        </w:rPr>
      </w:pPr>
      <w:r w:rsidRPr="0083736C">
        <w:rPr>
          <w:b/>
          <w:color w:val="07195A" w:themeColor="background1" w:themeShade="80"/>
        </w:rPr>
        <w:t>Nota : les structures publiques et leurs émanations ne peuvent pas être éligibles car relèveraient d’un fonds de concours.</w:t>
      </w:r>
    </w:p>
    <w:p w14:paraId="105CBF3F" w14:textId="77777777" w:rsidR="0083736C" w:rsidRPr="0083736C" w:rsidRDefault="0083736C" w:rsidP="0083736C">
      <w:pPr>
        <w:ind w:left="360"/>
        <w:rPr>
          <w:b/>
          <w:color w:val="07195A" w:themeColor="background1" w:themeShade="80"/>
        </w:rPr>
      </w:pPr>
      <w:r w:rsidRPr="0083736C">
        <w:rPr>
          <w:b/>
          <w:color w:val="07195A" w:themeColor="background1" w:themeShade="80"/>
        </w:rPr>
        <w:t>Les structures scolaires sont exclues du périmètre car un format spécifique d’AAP leur est destiné (AAP Scolaire).</w:t>
      </w:r>
    </w:p>
    <w:p w14:paraId="4D371E8B" w14:textId="77777777" w:rsidR="0083736C" w:rsidRPr="0083736C" w:rsidRDefault="0083736C" w:rsidP="0083736C">
      <w:pPr>
        <w:rPr>
          <w:color w:val="07195A" w:themeColor="background1" w:themeShade="80"/>
        </w:rPr>
      </w:pPr>
    </w:p>
    <w:p w14:paraId="6A6AF7E3" w14:textId="577B536B" w:rsidR="001B1B89" w:rsidRPr="0083736C" w:rsidRDefault="001B1B89" w:rsidP="0083736C">
      <w:pPr>
        <w:pStyle w:val="Titre2"/>
      </w:pPr>
      <w:bookmarkStart w:id="10" w:name="_Toc190181110"/>
      <w:r w:rsidRPr="0083736C">
        <w:lastRenderedPageBreak/>
        <w:t>Quels sont les soutiens financiers ?</w:t>
      </w:r>
      <w:bookmarkEnd w:id="10"/>
    </w:p>
    <w:p w14:paraId="24B4AE49" w14:textId="78A10ADC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Jusqu’à **80% des dépenses éligibles TTC en investi</w:t>
      </w:r>
      <w:r w:rsidR="005C6B98" w:rsidRPr="0083736C">
        <w:rPr>
          <w:color w:val="07195A" w:themeColor="background1" w:themeShade="80"/>
        </w:rPr>
        <w:t>ssement** (plafonnées à 1 500€) :</w:t>
      </w:r>
    </w:p>
    <w:p w14:paraId="48D421C4" w14:textId="12DC14F1" w:rsidR="005C6B98" w:rsidRPr="0083736C" w:rsidRDefault="005C6B98" w:rsidP="005C6B98">
      <w:pPr>
        <w:pStyle w:val="Paragraphedeliste"/>
        <w:numPr>
          <w:ilvl w:val="0"/>
          <w:numId w:val="31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Achat de matériel (réutilisable)</w:t>
      </w:r>
    </w:p>
    <w:p w14:paraId="0D2025DC" w14:textId="205E59E6" w:rsidR="005C6B98" w:rsidRPr="0083736C" w:rsidRDefault="005C6B98" w:rsidP="005C6B98">
      <w:pPr>
        <w:pStyle w:val="Paragraphedeliste"/>
        <w:numPr>
          <w:ilvl w:val="0"/>
          <w:numId w:val="31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Achat d’équipement</w:t>
      </w:r>
    </w:p>
    <w:p w14:paraId="2559319B" w14:textId="6ED9C03F" w:rsidR="005C6B98" w:rsidRPr="0083736C" w:rsidRDefault="005C6B98" w:rsidP="005C6B98">
      <w:pPr>
        <w:pStyle w:val="Paragraphedeliste"/>
        <w:numPr>
          <w:ilvl w:val="0"/>
          <w:numId w:val="31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Création de support</w:t>
      </w:r>
    </w:p>
    <w:p w14:paraId="1D8190C8" w14:textId="50332709" w:rsidR="005C6B98" w:rsidRPr="0083736C" w:rsidRDefault="005C6B98" w:rsidP="005C6B98">
      <w:pPr>
        <w:pStyle w:val="Paragraphedeliste"/>
        <w:numPr>
          <w:ilvl w:val="0"/>
          <w:numId w:val="31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Création de contenus multimédias</w:t>
      </w:r>
    </w:p>
    <w:p w14:paraId="428EF2CC" w14:textId="12695DA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Jusqu’à **</w:t>
      </w:r>
      <w:r w:rsidR="009C131A">
        <w:rPr>
          <w:color w:val="07195A" w:themeColor="background1" w:themeShade="80"/>
        </w:rPr>
        <w:t>80</w:t>
      </w:r>
      <w:r w:rsidRPr="0083736C">
        <w:rPr>
          <w:color w:val="07195A" w:themeColor="background1" w:themeShade="80"/>
        </w:rPr>
        <w:t>% des dépenses éligibles en fonctionnement** (dans la limite de 400€).</w:t>
      </w:r>
    </w:p>
    <w:p w14:paraId="1F07E79A" w14:textId="77777777" w:rsidR="005C6B98" w:rsidRPr="0083736C" w:rsidRDefault="005C6B98" w:rsidP="005C6B98">
      <w:pPr>
        <w:pStyle w:val="Paragraphedeliste"/>
        <w:numPr>
          <w:ilvl w:val="0"/>
          <w:numId w:val="32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Location de salle</w:t>
      </w:r>
    </w:p>
    <w:p w14:paraId="0D4CC588" w14:textId="77777777" w:rsidR="005C6B98" w:rsidRPr="0083736C" w:rsidRDefault="005C6B98" w:rsidP="005C6B98">
      <w:pPr>
        <w:pStyle w:val="Paragraphedeliste"/>
        <w:numPr>
          <w:ilvl w:val="0"/>
          <w:numId w:val="32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Support de communication pour l’événement</w:t>
      </w:r>
    </w:p>
    <w:p w14:paraId="5542A9ED" w14:textId="77777777" w:rsidR="005C6B98" w:rsidRPr="0083736C" w:rsidRDefault="005C6B98" w:rsidP="005C6B98">
      <w:pPr>
        <w:pStyle w:val="Paragraphedeliste"/>
        <w:numPr>
          <w:ilvl w:val="0"/>
          <w:numId w:val="32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Rémunération intervenant</w:t>
      </w:r>
    </w:p>
    <w:p w14:paraId="022D1A83" w14:textId="1D97FEBA" w:rsidR="005C6B98" w:rsidRPr="0083736C" w:rsidRDefault="005C6B98" w:rsidP="005C6B98">
      <w:pPr>
        <w:pStyle w:val="Paragraphedeliste"/>
        <w:numPr>
          <w:ilvl w:val="0"/>
          <w:numId w:val="32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Achat de fourniture</w:t>
      </w:r>
    </w:p>
    <w:p w14:paraId="6B13EFD2" w14:textId="2BAA45EE" w:rsidR="005C6B98" w:rsidRPr="0083736C" w:rsidRDefault="005C6B98" w:rsidP="005C6B98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dépenses non éligibles :</w:t>
      </w:r>
    </w:p>
    <w:p w14:paraId="3E49803F" w14:textId="14B21521" w:rsidR="005C6B98" w:rsidRPr="0083736C" w:rsidRDefault="005C6B98" w:rsidP="005C6B98">
      <w:pPr>
        <w:pStyle w:val="Paragraphedeliste"/>
        <w:numPr>
          <w:ilvl w:val="0"/>
          <w:numId w:val="34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frais de fonctionnements</w:t>
      </w:r>
    </w:p>
    <w:p w14:paraId="0EE15DD8" w14:textId="7A9A8921" w:rsidR="005C6B98" w:rsidRPr="0083736C" w:rsidRDefault="005C6B98" w:rsidP="005C6B98">
      <w:pPr>
        <w:pStyle w:val="Paragraphedeliste"/>
        <w:numPr>
          <w:ilvl w:val="0"/>
          <w:numId w:val="34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dépenses liées à la création ou au financement d'un poste salarié ne sont pas éligibles</w:t>
      </w:r>
    </w:p>
    <w:p w14:paraId="158BB998" w14:textId="469A5A07" w:rsidR="005C6B98" w:rsidRPr="0083736C" w:rsidRDefault="005C6B98" w:rsidP="005C6B98">
      <w:pPr>
        <w:pStyle w:val="Paragraphedeliste"/>
        <w:numPr>
          <w:ilvl w:val="0"/>
          <w:numId w:val="34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dépenses antérieures à la signature de la décision de financement</w:t>
      </w:r>
    </w:p>
    <w:p w14:paraId="01055282" w14:textId="7777777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porteurs de projets doivent prévoir un cofinancement à hauteur d’au moins 20%.</w:t>
      </w:r>
    </w:p>
    <w:p w14:paraId="443AE2E6" w14:textId="0CD5FBD6" w:rsidR="001B1B89" w:rsidRPr="0083736C" w:rsidRDefault="001B1B89" w:rsidP="001B1B89">
      <w:pPr>
        <w:rPr>
          <w:color w:val="07195A" w:themeColor="background1" w:themeShade="80"/>
        </w:rPr>
      </w:pPr>
    </w:p>
    <w:p w14:paraId="221F68B3" w14:textId="066C208C" w:rsidR="001B1B89" w:rsidRPr="0083736C" w:rsidRDefault="001B1B89" w:rsidP="001B1B89">
      <w:pPr>
        <w:pStyle w:val="Titre1CUCM21"/>
        <w:rPr>
          <w:color w:val="07195A" w:themeColor="background1" w:themeShade="80"/>
        </w:rPr>
      </w:pPr>
      <w:bookmarkStart w:id="11" w:name="_Toc190181111"/>
      <w:r w:rsidRPr="0083736C">
        <w:rPr>
          <w:color w:val="07195A" w:themeColor="background1" w:themeShade="80"/>
        </w:rPr>
        <w:t>Volet 2 : Projets de réduction et/ou réemploi</w:t>
      </w:r>
      <w:bookmarkEnd w:id="11"/>
    </w:p>
    <w:p w14:paraId="07463485" w14:textId="77777777" w:rsidR="00925BB9" w:rsidRPr="00925BB9" w:rsidRDefault="00925BB9" w:rsidP="00925BB9">
      <w:pPr>
        <w:pStyle w:val="Paragraphedeliste"/>
        <w:numPr>
          <w:ilvl w:val="0"/>
          <w:numId w:val="38"/>
        </w:numPr>
        <w:spacing w:after="240" w:line="288" w:lineRule="auto"/>
        <w:contextualSpacing w:val="0"/>
        <w:outlineLvl w:val="1"/>
        <w:rPr>
          <w:rFonts w:eastAsiaTheme="minorEastAsia"/>
          <w:b/>
          <w:i/>
          <w:vanish/>
          <w:color w:val="07195A" w:themeColor="background1" w:themeShade="80"/>
          <w:sz w:val="24"/>
          <w:szCs w:val="20"/>
          <w:u w:val="single"/>
          <w:lang w:val="en-US"/>
        </w:rPr>
      </w:pPr>
      <w:bookmarkStart w:id="12" w:name="_Toc190181112"/>
    </w:p>
    <w:p w14:paraId="2A00637C" w14:textId="44302D49" w:rsidR="001B1B89" w:rsidRPr="00925BB9" w:rsidRDefault="001B1B89" w:rsidP="00925BB9">
      <w:pPr>
        <w:pStyle w:val="Titre2"/>
      </w:pPr>
      <w:r w:rsidRPr="00925BB9">
        <w:t>En quoi consiste ce volet ?</w:t>
      </w:r>
      <w:bookmarkEnd w:id="12"/>
    </w:p>
    <w:p w14:paraId="6BF55852" w14:textId="7777777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Ce volet soutient le développement de projets visant à réduire les déchets par des actions de prévention et/ou de réemploi.</w:t>
      </w:r>
    </w:p>
    <w:p w14:paraId="3E4A3E8C" w14:textId="2EF53632" w:rsidR="001B1B89" w:rsidRPr="0083736C" w:rsidRDefault="001B1B89" w:rsidP="00925BB9">
      <w:pPr>
        <w:pStyle w:val="Titre2"/>
      </w:pPr>
      <w:bookmarkStart w:id="13" w:name="_Toc190181113"/>
      <w:r w:rsidRPr="0083736C">
        <w:t>À qui s’adresse ce volet ?</w:t>
      </w:r>
      <w:bookmarkEnd w:id="13"/>
    </w:p>
    <w:p w14:paraId="414E44F8" w14:textId="7777777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structures éligibles sont les mêmes que celles du Volet 1. Les structures publiques, leurs émanations et les établissements scolaires ne sont pas éligibles.</w:t>
      </w:r>
    </w:p>
    <w:p w14:paraId="72B8BC33" w14:textId="0A4E4D8E" w:rsidR="001B1B89" w:rsidRPr="0083736C" w:rsidRDefault="001B1B89" w:rsidP="00925BB9">
      <w:pPr>
        <w:pStyle w:val="Titre2"/>
      </w:pPr>
      <w:bookmarkStart w:id="14" w:name="_Toc190181114"/>
      <w:r w:rsidRPr="0083736C">
        <w:t>Quelles sont les initiatives éligibles ?</w:t>
      </w:r>
      <w:bookmarkEnd w:id="14"/>
    </w:p>
    <w:p w14:paraId="3418F620" w14:textId="77777777" w:rsidR="001B1B89" w:rsidRPr="00925BB9" w:rsidRDefault="001B1B89" w:rsidP="001B1B89">
      <w:pPr>
        <w:pStyle w:val="Titre3CUCM21"/>
        <w:rPr>
          <w:b w:val="0"/>
          <w:color w:val="07195A" w:themeColor="background1" w:themeShade="80"/>
          <w:u w:val="none"/>
        </w:rPr>
      </w:pPr>
      <w:r w:rsidRPr="00925BB9">
        <w:rPr>
          <w:b w:val="0"/>
          <w:color w:val="07195A" w:themeColor="background1" w:themeShade="80"/>
          <w:u w:val="none"/>
        </w:rPr>
        <w:t>Les initiatives soutenues peuvent inclure :</w:t>
      </w:r>
    </w:p>
    <w:p w14:paraId="3CA6FE5F" w14:textId="77777777" w:rsidR="001B1B89" w:rsidRPr="0083736C" w:rsidRDefault="001B1B89" w:rsidP="001B1B89">
      <w:pPr>
        <w:pStyle w:val="Paragraphedeliste"/>
        <w:numPr>
          <w:ilvl w:val="0"/>
          <w:numId w:val="28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La création de systèmes de consigne ou de vente en vrac,</w:t>
      </w:r>
    </w:p>
    <w:p w14:paraId="6D7946B2" w14:textId="77777777" w:rsidR="001B1B89" w:rsidRPr="0083736C" w:rsidRDefault="001B1B89" w:rsidP="001B1B89">
      <w:pPr>
        <w:pStyle w:val="Paragraphedeliste"/>
        <w:numPr>
          <w:ilvl w:val="0"/>
          <w:numId w:val="28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Des alternatives aux produits à usage unique,</w:t>
      </w:r>
    </w:p>
    <w:p w14:paraId="6099FFBE" w14:textId="77777777" w:rsidR="001B1B89" w:rsidRPr="0083736C" w:rsidRDefault="001B1B89" w:rsidP="001B1B89">
      <w:pPr>
        <w:pStyle w:val="Paragraphedeliste"/>
        <w:numPr>
          <w:ilvl w:val="0"/>
          <w:numId w:val="28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Des projets d’éco-conception,</w:t>
      </w:r>
    </w:p>
    <w:p w14:paraId="2F353DF1" w14:textId="77777777" w:rsidR="0083736C" w:rsidRPr="0083736C" w:rsidRDefault="0083736C" w:rsidP="0083736C">
      <w:pPr>
        <w:pStyle w:val="Paragraphedeliste"/>
        <w:rPr>
          <w:color w:val="07195A" w:themeColor="background1" w:themeShade="80"/>
        </w:rPr>
      </w:pPr>
    </w:p>
    <w:p w14:paraId="6F84326C" w14:textId="396D3FCC" w:rsidR="001B1B89" w:rsidRPr="0083736C" w:rsidRDefault="001B1B89" w:rsidP="0083736C">
      <w:pPr>
        <w:ind w:left="360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projets doivent être reproductibles et contribuer à une réduction durable des déchets.</w:t>
      </w:r>
    </w:p>
    <w:p w14:paraId="3D8F5491" w14:textId="216F5A2F" w:rsidR="001B1B89" w:rsidRPr="0083736C" w:rsidRDefault="001B1B89" w:rsidP="00925BB9">
      <w:pPr>
        <w:pStyle w:val="Titre2"/>
      </w:pPr>
      <w:bookmarkStart w:id="15" w:name="_Toc190181115"/>
      <w:r w:rsidRPr="0083736C">
        <w:t>Quels sont les soutiens financiers ?</w:t>
      </w:r>
      <w:bookmarkEnd w:id="15"/>
    </w:p>
    <w:p w14:paraId="47E371E6" w14:textId="1569EBD0" w:rsidR="005C6B98" w:rsidRPr="0083736C" w:rsidRDefault="005C6B98" w:rsidP="005C6B98">
      <w:pPr>
        <w:pStyle w:val="CorpsCUCM21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dépenses engagées avant la délibération validant les montants demandés ne seront pas éligibles.</w:t>
      </w:r>
    </w:p>
    <w:p w14:paraId="3EAC17EA" w14:textId="16AD448C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lastRenderedPageBreak/>
        <w:t>Jusqu’à **80% des dépenses éligibles TTC en investissement** (plafonnées à 5 000€)</w:t>
      </w:r>
      <w:r w:rsidR="005C6B98" w:rsidRPr="0083736C">
        <w:rPr>
          <w:color w:val="07195A" w:themeColor="background1" w:themeShade="80"/>
        </w:rPr>
        <w:t> :</w:t>
      </w:r>
    </w:p>
    <w:p w14:paraId="3C914068" w14:textId="77777777" w:rsidR="005C6B98" w:rsidRPr="0083736C" w:rsidRDefault="005C6B98" w:rsidP="005C6B98">
      <w:pPr>
        <w:pStyle w:val="Paragraphedeliste"/>
        <w:numPr>
          <w:ilvl w:val="0"/>
          <w:numId w:val="33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Achat d’équipements</w:t>
      </w:r>
    </w:p>
    <w:p w14:paraId="2B60AD4D" w14:textId="77777777" w:rsidR="005C6B98" w:rsidRPr="0083736C" w:rsidRDefault="005C6B98" w:rsidP="005C6B98">
      <w:pPr>
        <w:pStyle w:val="Paragraphedeliste"/>
        <w:numPr>
          <w:ilvl w:val="0"/>
          <w:numId w:val="33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Installation et mise en service des équipements</w:t>
      </w:r>
    </w:p>
    <w:p w14:paraId="36E51C72" w14:textId="77777777" w:rsidR="005C6B98" w:rsidRPr="0083736C" w:rsidRDefault="005C6B98" w:rsidP="005C6B98">
      <w:pPr>
        <w:pStyle w:val="Paragraphedeliste"/>
        <w:numPr>
          <w:ilvl w:val="0"/>
          <w:numId w:val="33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Frais de formation</w:t>
      </w:r>
    </w:p>
    <w:p w14:paraId="0E81011B" w14:textId="77777777" w:rsidR="005C6B98" w:rsidRPr="0083736C" w:rsidRDefault="005C6B98" w:rsidP="005C6B98">
      <w:pPr>
        <w:pStyle w:val="Paragraphedeliste"/>
        <w:numPr>
          <w:ilvl w:val="0"/>
          <w:numId w:val="33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Achat de matériel</w:t>
      </w:r>
    </w:p>
    <w:p w14:paraId="102B6B7B" w14:textId="1E4F0381" w:rsidR="005C6B98" w:rsidRPr="0083736C" w:rsidRDefault="005C6B98" w:rsidP="005C6B98">
      <w:pPr>
        <w:pStyle w:val="Paragraphedeliste"/>
        <w:numPr>
          <w:ilvl w:val="0"/>
          <w:numId w:val="33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Support de communication (du projet)</w:t>
      </w:r>
    </w:p>
    <w:p w14:paraId="3084102F" w14:textId="7A2B0F3F" w:rsidR="0083736C" w:rsidRPr="0083736C" w:rsidRDefault="0083736C" w:rsidP="0083736C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Jusqu’à **</w:t>
      </w:r>
      <w:r w:rsidR="009C131A">
        <w:rPr>
          <w:color w:val="07195A" w:themeColor="background1" w:themeShade="80"/>
        </w:rPr>
        <w:t>80</w:t>
      </w:r>
      <w:r w:rsidRPr="0083736C">
        <w:rPr>
          <w:color w:val="07195A" w:themeColor="background1" w:themeShade="80"/>
        </w:rPr>
        <w:t>% des dépenses éligibles en fonctionnement** (dans la limite de 400€).</w:t>
      </w:r>
    </w:p>
    <w:p w14:paraId="556D9D9C" w14:textId="77777777" w:rsidR="0083736C" w:rsidRPr="0083736C" w:rsidRDefault="0083736C" w:rsidP="0083736C">
      <w:pPr>
        <w:numPr>
          <w:ilvl w:val="0"/>
          <w:numId w:val="32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Support de communication pour l’événement</w:t>
      </w:r>
    </w:p>
    <w:p w14:paraId="31BF1A05" w14:textId="77777777" w:rsidR="0083736C" w:rsidRPr="0083736C" w:rsidRDefault="0083736C" w:rsidP="0083736C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dépenses non éligibles :</w:t>
      </w:r>
    </w:p>
    <w:p w14:paraId="0B560045" w14:textId="77777777" w:rsidR="0083736C" w:rsidRPr="0083736C" w:rsidRDefault="0083736C" w:rsidP="0083736C">
      <w:pPr>
        <w:numPr>
          <w:ilvl w:val="0"/>
          <w:numId w:val="34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frais de fonctionnements</w:t>
      </w:r>
    </w:p>
    <w:p w14:paraId="7D55115B" w14:textId="77777777" w:rsidR="0083736C" w:rsidRPr="0083736C" w:rsidRDefault="0083736C" w:rsidP="0083736C">
      <w:pPr>
        <w:numPr>
          <w:ilvl w:val="0"/>
          <w:numId w:val="34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dépenses liées à la création ou au financement d'un poste salarié ne sont pas éligibles</w:t>
      </w:r>
    </w:p>
    <w:p w14:paraId="4387DC66" w14:textId="77777777" w:rsidR="0083736C" w:rsidRPr="0083736C" w:rsidRDefault="0083736C" w:rsidP="0083736C">
      <w:pPr>
        <w:numPr>
          <w:ilvl w:val="0"/>
          <w:numId w:val="34"/>
        </w:num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dépenses antérieures à la signature de la décision de financement</w:t>
      </w:r>
    </w:p>
    <w:p w14:paraId="54EA1DCF" w14:textId="77777777" w:rsidR="0083736C" w:rsidRPr="0083736C" w:rsidRDefault="0083736C" w:rsidP="001B1B89">
      <w:pPr>
        <w:rPr>
          <w:color w:val="07195A" w:themeColor="background1" w:themeShade="80"/>
        </w:rPr>
      </w:pPr>
    </w:p>
    <w:p w14:paraId="6B1E52A8" w14:textId="21159B0E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Un cofinancement à hauteur de 20% est nécessaire, avec la possibilité de solliciter d’autres sources de financement.</w:t>
      </w:r>
    </w:p>
    <w:p w14:paraId="4D1A54A1" w14:textId="77777777" w:rsidR="001B1B89" w:rsidRPr="0083736C" w:rsidRDefault="001B1B89" w:rsidP="001B1B89">
      <w:pPr>
        <w:pStyle w:val="Titre1CUCM21"/>
        <w:rPr>
          <w:color w:val="07195A" w:themeColor="background1" w:themeShade="80"/>
        </w:rPr>
      </w:pPr>
      <w:bookmarkStart w:id="16" w:name="_Toc190181116"/>
      <w:r w:rsidRPr="0083736C">
        <w:rPr>
          <w:color w:val="07195A" w:themeColor="background1" w:themeShade="80"/>
        </w:rPr>
        <w:t>Comment participer ?</w:t>
      </w:r>
      <w:bookmarkEnd w:id="16"/>
    </w:p>
    <w:p w14:paraId="1D7BE9D9" w14:textId="794C44C1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dossiers de candidature sont disponibles sur le site internet suivant :</w:t>
      </w:r>
      <w:r w:rsidR="00925BB9">
        <w:rPr>
          <w:color w:val="07195A" w:themeColor="background1" w:themeShade="80"/>
        </w:rPr>
        <w:t xml:space="preserve"> </w:t>
      </w:r>
      <w:r w:rsidRPr="00925BB9">
        <w:rPr>
          <w:i/>
          <w:color w:val="07195A" w:themeColor="background1" w:themeShade="80"/>
        </w:rPr>
        <w:t>creusot-montceau.o</w:t>
      </w:r>
      <w:r w:rsidR="00925BB9" w:rsidRPr="00925BB9">
        <w:rPr>
          <w:i/>
          <w:color w:val="07195A" w:themeColor="background1" w:themeShade="80"/>
        </w:rPr>
        <w:t>rg</w:t>
      </w:r>
    </w:p>
    <w:p w14:paraId="35C6FC1B" w14:textId="7777777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Ils doivent être complétés par les candidats et transmis :</w:t>
      </w:r>
    </w:p>
    <w:p w14:paraId="2DC25C38" w14:textId="77777777" w:rsidR="001B1B89" w:rsidRPr="0083736C" w:rsidRDefault="001B1B89" w:rsidP="001B1B89">
      <w:pPr>
        <w:pStyle w:val="Titre3CUCM21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Par courrier :</w:t>
      </w:r>
    </w:p>
    <w:p w14:paraId="1458A3F7" w14:textId="7777777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**Monsieur le Président, Communauté urbaine Creusot Montceau,</w:t>
      </w:r>
    </w:p>
    <w:p w14:paraId="2797097B" w14:textId="7777777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Château de la Verrerie, BP 90069, 71206 Le Creusot Cedex.**</w:t>
      </w:r>
    </w:p>
    <w:p w14:paraId="685389D9" w14:textId="77777777" w:rsidR="001B1B89" w:rsidRPr="0083736C" w:rsidRDefault="001B1B89" w:rsidP="001B1B89">
      <w:pPr>
        <w:pStyle w:val="Titre3CUCM21"/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Par mail :</w:t>
      </w:r>
    </w:p>
    <w:p w14:paraId="67DC45B0" w14:textId="0B8DF54E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prevention.dechet@creusot-montceau.org</w:t>
      </w:r>
    </w:p>
    <w:p w14:paraId="086A5472" w14:textId="7777777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Les dossiers soumis doivent inclure une lettre de demande de subvention, des détails techniques et financiers du projet, un RIB, et les documents justificatifs propres à la structure candidate (statuts, Kbis, etc.).</w:t>
      </w:r>
    </w:p>
    <w:p w14:paraId="72365547" w14:textId="77777777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La participation implique l’acceptation pleine et entière du règlement de l’appel à projet.</w:t>
      </w:r>
    </w:p>
    <w:p w14:paraId="3D21BB9F" w14:textId="77777777" w:rsidR="005C6B98" w:rsidRPr="0083736C" w:rsidRDefault="005C6B98" w:rsidP="005C6B98">
      <w:pPr>
        <w:pStyle w:val="Titre1CUCM21"/>
        <w:rPr>
          <w:color w:val="07195A" w:themeColor="background1" w:themeShade="80"/>
        </w:rPr>
      </w:pPr>
      <w:bookmarkStart w:id="17" w:name="_Toc190181117"/>
      <w:r w:rsidRPr="0083736C">
        <w:rPr>
          <w:color w:val="07195A" w:themeColor="background1" w:themeShade="80"/>
        </w:rPr>
        <w:t>Calendrier prévisionnel</w:t>
      </w:r>
      <w:bookmarkEnd w:id="17"/>
    </w:p>
    <w:p w14:paraId="3DD441D5" w14:textId="46968BDD" w:rsidR="006F59A5" w:rsidRPr="0083736C" w:rsidRDefault="006F59A5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Lancement de l’appel à projet :</w:t>
      </w:r>
      <w:r w:rsidR="0083736C" w:rsidRPr="0083736C">
        <w:rPr>
          <w:color w:val="07195A" w:themeColor="background1" w:themeShade="80"/>
        </w:rPr>
        <w:t xml:space="preserve"> 14 avril 2025</w:t>
      </w:r>
    </w:p>
    <w:p w14:paraId="40D3C676" w14:textId="2FEB9F91" w:rsidR="006F59A5" w:rsidRPr="0083736C" w:rsidRDefault="006F59A5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Date de fin des candidature</w:t>
      </w:r>
      <w:r w:rsidR="00F57205" w:rsidRPr="0083736C">
        <w:rPr>
          <w:color w:val="07195A" w:themeColor="background1" w:themeShade="80"/>
        </w:rPr>
        <w:t>s</w:t>
      </w:r>
      <w:r w:rsidR="0083736C" w:rsidRPr="0083736C">
        <w:rPr>
          <w:color w:val="07195A" w:themeColor="background1" w:themeShade="80"/>
        </w:rPr>
        <w:t> : 23 mai 2025</w:t>
      </w:r>
    </w:p>
    <w:p w14:paraId="5751D170" w14:textId="3E86F9E6" w:rsidR="006F59A5" w:rsidRPr="0083736C" w:rsidRDefault="006F59A5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PV de validation des candidatures</w:t>
      </w:r>
      <w:r w:rsidR="0083736C" w:rsidRPr="0083736C">
        <w:rPr>
          <w:color w:val="07195A" w:themeColor="background1" w:themeShade="80"/>
        </w:rPr>
        <w:t> : 27 mai 2025</w:t>
      </w:r>
    </w:p>
    <w:p w14:paraId="337647DD" w14:textId="39E07D31" w:rsidR="006F59A5" w:rsidRPr="0083736C" w:rsidRDefault="006F59A5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Jury de sélection</w:t>
      </w:r>
      <w:r w:rsidR="0083736C" w:rsidRPr="0083736C">
        <w:rPr>
          <w:color w:val="07195A" w:themeColor="background1" w:themeShade="80"/>
        </w:rPr>
        <w:t> : 27 mai 2025</w:t>
      </w:r>
    </w:p>
    <w:p w14:paraId="4B145DC9" w14:textId="38AF42C5" w:rsidR="006F59A5" w:rsidRPr="0083736C" w:rsidRDefault="006F59A5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lastRenderedPageBreak/>
        <w:t>Délibération</w:t>
      </w:r>
      <w:r w:rsidR="0083736C" w:rsidRPr="0083736C">
        <w:rPr>
          <w:color w:val="07195A" w:themeColor="background1" w:themeShade="80"/>
        </w:rPr>
        <w:t xml:space="preserve"> : </w:t>
      </w:r>
      <w:r w:rsidR="00571869">
        <w:rPr>
          <w:color w:val="07195A" w:themeColor="background1" w:themeShade="80"/>
        </w:rPr>
        <w:t>fin juin 2025</w:t>
      </w:r>
    </w:p>
    <w:p w14:paraId="3C045778" w14:textId="4B83E292" w:rsidR="0083736C" w:rsidRDefault="0083736C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 xml:space="preserve">Information au porteur de projet : </w:t>
      </w:r>
      <w:r w:rsidR="00571869">
        <w:rPr>
          <w:color w:val="07195A" w:themeColor="background1" w:themeShade="80"/>
        </w:rPr>
        <w:t>semaine du 30 juin</w:t>
      </w:r>
    </w:p>
    <w:p w14:paraId="1D97EA9C" w14:textId="55ED4C60" w:rsidR="00571869" w:rsidRPr="0083736C" w:rsidRDefault="00571869" w:rsidP="001B1B89">
      <w:pPr>
        <w:rPr>
          <w:color w:val="07195A" w:themeColor="background1" w:themeShade="80"/>
        </w:rPr>
      </w:pPr>
      <w:r>
        <w:rPr>
          <w:color w:val="07195A" w:themeColor="background1" w:themeShade="80"/>
        </w:rPr>
        <w:t>Début de la programmation des ateliers retenu : septembre 2025</w:t>
      </w:r>
    </w:p>
    <w:p w14:paraId="155FFE00" w14:textId="77777777" w:rsidR="005C6B98" w:rsidRPr="0083736C" w:rsidRDefault="005C6B98" w:rsidP="001B1B89">
      <w:pPr>
        <w:rPr>
          <w:color w:val="07195A" w:themeColor="background1" w:themeShade="80"/>
        </w:rPr>
      </w:pPr>
    </w:p>
    <w:p w14:paraId="29728A04" w14:textId="3CD0126F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---</w:t>
      </w:r>
    </w:p>
    <w:p w14:paraId="7C16BD6C" w14:textId="5ED04FD2" w:rsidR="001B1B89" w:rsidRPr="0083736C" w:rsidRDefault="001B1B89" w:rsidP="001B1B89">
      <w:pPr>
        <w:rPr>
          <w:color w:val="07195A" w:themeColor="background1" w:themeShade="80"/>
        </w:rPr>
      </w:pPr>
      <w:r w:rsidRPr="0083736C">
        <w:rPr>
          <w:color w:val="07195A" w:themeColor="background1" w:themeShade="80"/>
        </w:rPr>
        <w:t>Pour tou</w:t>
      </w:r>
      <w:r w:rsidR="0083736C" w:rsidRPr="0083736C">
        <w:rPr>
          <w:color w:val="07195A" w:themeColor="background1" w:themeShade="80"/>
        </w:rPr>
        <w:t xml:space="preserve">te information complémentaire: </w:t>
      </w:r>
      <w:r w:rsidRPr="0083736C">
        <w:rPr>
          <w:color w:val="07195A" w:themeColor="background1" w:themeShade="80"/>
        </w:rPr>
        <w:t>preventi</w:t>
      </w:r>
      <w:r w:rsidR="0083736C" w:rsidRPr="0083736C">
        <w:rPr>
          <w:color w:val="07195A" w:themeColor="background1" w:themeShade="80"/>
        </w:rPr>
        <w:t>on.dechet@creusot-montceau.org</w:t>
      </w:r>
    </w:p>
    <w:sectPr w:rsidR="001B1B89" w:rsidRPr="0083736C" w:rsidSect="00396927">
      <w:footerReference w:type="default" r:id="rId16"/>
      <w:pgSz w:w="11906" w:h="16838"/>
      <w:pgMar w:top="709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F745A" w14:textId="77777777" w:rsidR="00760AB8" w:rsidRDefault="00760AB8" w:rsidP="001B1B89">
      <w:r>
        <w:separator/>
      </w:r>
    </w:p>
    <w:p w14:paraId="532ACAAD" w14:textId="77777777" w:rsidR="00397C24" w:rsidRDefault="00397C24" w:rsidP="001B1B89"/>
  </w:endnote>
  <w:endnote w:type="continuationSeparator" w:id="0">
    <w:p w14:paraId="68073EE0" w14:textId="77777777" w:rsidR="00760AB8" w:rsidRDefault="00760AB8" w:rsidP="001B1B89">
      <w:r>
        <w:continuationSeparator/>
      </w:r>
    </w:p>
    <w:p w14:paraId="30260038" w14:textId="77777777" w:rsidR="00397C24" w:rsidRDefault="00397C24" w:rsidP="001B1B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Sans">
    <w:altName w:val="IBM Plex Sans"/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C499A" w14:textId="4A0171BA" w:rsidR="00760AB8" w:rsidRPr="00760AB8" w:rsidRDefault="00760AB8" w:rsidP="001B1B89">
    <w:pPr>
      <w:pStyle w:val="Pieddepage"/>
    </w:pPr>
    <w:r w:rsidRPr="00760AB8">
      <w:t>Règlement</w:t>
    </w:r>
    <w:r w:rsidR="00F57205">
      <w:t xml:space="preserve"> AAP Prévention des déchets </w:t>
    </w:r>
    <w:r w:rsidRPr="00760AB8">
      <w:t>2025</w:t>
    </w:r>
    <w:r>
      <w:tab/>
    </w:r>
    <w:r w:rsidRPr="00760AB8">
      <w:tab/>
      <w:t xml:space="preserve">Page </w:t>
    </w:r>
    <w:r w:rsidRPr="00760AB8">
      <w:fldChar w:fldCharType="begin"/>
    </w:r>
    <w:r w:rsidRPr="00760AB8">
      <w:instrText>PAGE  \* Arabic  \* MERGEFORMAT</w:instrText>
    </w:r>
    <w:r w:rsidRPr="00760AB8">
      <w:fldChar w:fldCharType="separate"/>
    </w:r>
    <w:r w:rsidR="00571869">
      <w:rPr>
        <w:noProof/>
      </w:rPr>
      <w:t>5</w:t>
    </w:r>
    <w:r w:rsidRPr="00760AB8">
      <w:fldChar w:fldCharType="end"/>
    </w:r>
    <w:r w:rsidRPr="00760AB8">
      <w:t xml:space="preserve"> sur </w:t>
    </w:r>
    <w:fldSimple w:instr="NUMPAGES  \* Arabic  \* MERGEFORMAT">
      <w:r w:rsidR="00571869">
        <w:rPr>
          <w:noProof/>
        </w:rPr>
        <w:t>5</w:t>
      </w:r>
    </w:fldSimple>
  </w:p>
  <w:p w14:paraId="2A712FD5" w14:textId="77777777" w:rsidR="00397C24" w:rsidRDefault="00397C24" w:rsidP="001B1B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E7F24" w14:textId="77777777" w:rsidR="00760AB8" w:rsidRDefault="00760AB8" w:rsidP="001B1B89">
      <w:r>
        <w:separator/>
      </w:r>
    </w:p>
    <w:p w14:paraId="3B1E6BAF" w14:textId="77777777" w:rsidR="00397C24" w:rsidRDefault="00397C24" w:rsidP="001B1B89"/>
  </w:footnote>
  <w:footnote w:type="continuationSeparator" w:id="0">
    <w:p w14:paraId="7BE3D8EE" w14:textId="77777777" w:rsidR="00760AB8" w:rsidRDefault="00760AB8" w:rsidP="001B1B89">
      <w:r>
        <w:continuationSeparator/>
      </w:r>
    </w:p>
    <w:p w14:paraId="45EBE36F" w14:textId="77777777" w:rsidR="00397C24" w:rsidRDefault="00397C24" w:rsidP="001B1B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7745A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9128213" o:spid="_x0000_i1025" type="#_x0000_t75" style="width:95.2pt;height:89.25pt;visibility:visible;mso-wrap-style:square">
            <v:imagedata r:id="rId1" o:title=""/>
          </v:shape>
        </w:pict>
      </mc:Choice>
      <mc:Fallback>
        <w:drawing>
          <wp:inline distT="0" distB="0" distL="0" distR="0" wp14:anchorId="5E122CC6">
            <wp:extent cx="1209040" cy="1133475"/>
            <wp:effectExtent l="0" t="0" r="0" b="0"/>
            <wp:docPr id="39128213" name="Image 39128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4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590166"/>
    <w:multiLevelType w:val="hybridMultilevel"/>
    <w:tmpl w:val="C2526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4F83"/>
    <w:multiLevelType w:val="hybridMultilevel"/>
    <w:tmpl w:val="4B92A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51CAE"/>
    <w:multiLevelType w:val="multilevel"/>
    <w:tmpl w:val="3880D70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DD012CD"/>
    <w:multiLevelType w:val="hybridMultilevel"/>
    <w:tmpl w:val="EBF21FE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56FCF"/>
    <w:multiLevelType w:val="multilevel"/>
    <w:tmpl w:val="4A2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91A76"/>
    <w:multiLevelType w:val="multilevel"/>
    <w:tmpl w:val="B35E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686165"/>
    <w:multiLevelType w:val="multilevel"/>
    <w:tmpl w:val="7864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3E7F16"/>
    <w:multiLevelType w:val="hybridMultilevel"/>
    <w:tmpl w:val="6344A2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6204"/>
    <w:multiLevelType w:val="hybridMultilevel"/>
    <w:tmpl w:val="81A86FCC"/>
    <w:lvl w:ilvl="0" w:tplc="5DF84A06">
      <w:start w:val="1"/>
      <w:numFmt w:val="decimal"/>
      <w:pStyle w:val="Titre1CUCM21"/>
      <w:lvlText w:val="%1."/>
      <w:lvlJc w:val="left"/>
      <w:pPr>
        <w:ind w:left="360" w:hanging="360"/>
      </w:pPr>
      <w:rPr>
        <w:rFonts w:hint="default"/>
        <w:color w:val="07195A" w:themeColor="background1" w:themeShade="8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867DBD"/>
    <w:multiLevelType w:val="multilevel"/>
    <w:tmpl w:val="3A9A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B6ED1"/>
    <w:multiLevelType w:val="hybridMultilevel"/>
    <w:tmpl w:val="94CAB2CE"/>
    <w:lvl w:ilvl="0" w:tplc="BACA5F68">
      <w:numFmt w:val="bullet"/>
      <w:lvlText w:val="-"/>
      <w:lvlJc w:val="left"/>
      <w:pPr>
        <w:ind w:left="720" w:hanging="360"/>
      </w:pPr>
      <w:rPr>
        <w:rFonts w:ascii="IBM Plex Sans" w:eastAsia="Times New Roman" w:hAnsi="IBM Plex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6388A"/>
    <w:multiLevelType w:val="multilevel"/>
    <w:tmpl w:val="951E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E1176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BC119E"/>
    <w:multiLevelType w:val="multilevel"/>
    <w:tmpl w:val="2C16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A5F3F"/>
    <w:multiLevelType w:val="multilevel"/>
    <w:tmpl w:val="60C0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EC6847"/>
    <w:multiLevelType w:val="multilevel"/>
    <w:tmpl w:val="8E3A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A0480A"/>
    <w:multiLevelType w:val="hybridMultilevel"/>
    <w:tmpl w:val="CD106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E3EC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452322"/>
    <w:multiLevelType w:val="multilevel"/>
    <w:tmpl w:val="017A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B23653"/>
    <w:multiLevelType w:val="hybridMultilevel"/>
    <w:tmpl w:val="762E2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F6866"/>
    <w:multiLevelType w:val="multilevel"/>
    <w:tmpl w:val="AA2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F25E8"/>
    <w:multiLevelType w:val="hybridMultilevel"/>
    <w:tmpl w:val="EAD0B9D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26654"/>
    <w:multiLevelType w:val="hybridMultilevel"/>
    <w:tmpl w:val="DEA4F6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62900"/>
    <w:multiLevelType w:val="multilevel"/>
    <w:tmpl w:val="2D3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B0279"/>
    <w:multiLevelType w:val="hybridMultilevel"/>
    <w:tmpl w:val="69EE48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22088"/>
    <w:multiLevelType w:val="multilevel"/>
    <w:tmpl w:val="7426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F250B8"/>
    <w:multiLevelType w:val="multilevel"/>
    <w:tmpl w:val="D5B6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272088"/>
    <w:multiLevelType w:val="hybridMultilevel"/>
    <w:tmpl w:val="4F48EF2E"/>
    <w:lvl w:ilvl="0" w:tplc="58F0489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A93D30"/>
    <w:multiLevelType w:val="multilevel"/>
    <w:tmpl w:val="363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6048EB"/>
    <w:multiLevelType w:val="multilevel"/>
    <w:tmpl w:val="5CB8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12CBC"/>
    <w:multiLevelType w:val="hybridMultilevel"/>
    <w:tmpl w:val="BAFA83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60008"/>
    <w:multiLevelType w:val="hybridMultilevel"/>
    <w:tmpl w:val="11A40F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10EA80">
      <w:numFmt w:val="bullet"/>
      <w:lvlText w:val="-"/>
      <w:lvlJc w:val="left"/>
      <w:pPr>
        <w:ind w:left="1440" w:hanging="360"/>
      </w:pPr>
      <w:rPr>
        <w:rFonts w:ascii="IBM Plex Sans" w:eastAsia="Times New Roman" w:hAnsi="IBM Plex Sans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8327D3"/>
    <w:multiLevelType w:val="hybridMultilevel"/>
    <w:tmpl w:val="23ACF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74585"/>
    <w:multiLevelType w:val="hybridMultilevel"/>
    <w:tmpl w:val="92A8B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D7ED4"/>
    <w:multiLevelType w:val="multilevel"/>
    <w:tmpl w:val="9BFC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1A3F52"/>
    <w:multiLevelType w:val="multilevel"/>
    <w:tmpl w:val="F770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2D7687"/>
    <w:multiLevelType w:val="hybridMultilevel"/>
    <w:tmpl w:val="CCF218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36315">
    <w:abstractNumId w:val="8"/>
  </w:num>
  <w:num w:numId="2" w16cid:durableId="876115782">
    <w:abstractNumId w:val="27"/>
  </w:num>
  <w:num w:numId="3" w16cid:durableId="334889273">
    <w:abstractNumId w:val="26"/>
  </w:num>
  <w:num w:numId="4" w16cid:durableId="1702323194">
    <w:abstractNumId w:val="20"/>
  </w:num>
  <w:num w:numId="5" w16cid:durableId="1972709661">
    <w:abstractNumId w:val="6"/>
  </w:num>
  <w:num w:numId="6" w16cid:durableId="2018119746">
    <w:abstractNumId w:val="28"/>
  </w:num>
  <w:num w:numId="7" w16cid:durableId="1166752130">
    <w:abstractNumId w:val="15"/>
  </w:num>
  <w:num w:numId="8" w16cid:durableId="1429539748">
    <w:abstractNumId w:val="4"/>
  </w:num>
  <w:num w:numId="9" w16cid:durableId="491338652">
    <w:abstractNumId w:val="34"/>
  </w:num>
  <w:num w:numId="10" w16cid:durableId="1934970122">
    <w:abstractNumId w:val="23"/>
  </w:num>
  <w:num w:numId="11" w16cid:durableId="914439049">
    <w:abstractNumId w:val="25"/>
  </w:num>
  <w:num w:numId="12" w16cid:durableId="1521385186">
    <w:abstractNumId w:val="9"/>
  </w:num>
  <w:num w:numId="13" w16cid:durableId="1593734936">
    <w:abstractNumId w:val="29"/>
  </w:num>
  <w:num w:numId="14" w16cid:durableId="563569859">
    <w:abstractNumId w:val="13"/>
  </w:num>
  <w:num w:numId="15" w16cid:durableId="746537250">
    <w:abstractNumId w:val="5"/>
  </w:num>
  <w:num w:numId="16" w16cid:durableId="1983922634">
    <w:abstractNumId w:val="11"/>
  </w:num>
  <w:num w:numId="17" w16cid:durableId="538249694">
    <w:abstractNumId w:val="14"/>
  </w:num>
  <w:num w:numId="18" w16cid:durableId="1425150354">
    <w:abstractNumId w:val="35"/>
  </w:num>
  <w:num w:numId="19" w16cid:durableId="115832232">
    <w:abstractNumId w:val="18"/>
  </w:num>
  <w:num w:numId="20" w16cid:durableId="1824732983">
    <w:abstractNumId w:val="16"/>
  </w:num>
  <w:num w:numId="21" w16cid:durableId="575287807">
    <w:abstractNumId w:val="31"/>
  </w:num>
  <w:num w:numId="22" w16cid:durableId="1671591875">
    <w:abstractNumId w:val="21"/>
  </w:num>
  <w:num w:numId="23" w16cid:durableId="774591297">
    <w:abstractNumId w:val="7"/>
  </w:num>
  <w:num w:numId="24" w16cid:durableId="1027221189">
    <w:abstractNumId w:val="24"/>
  </w:num>
  <w:num w:numId="25" w16cid:durableId="524364651">
    <w:abstractNumId w:val="8"/>
  </w:num>
  <w:num w:numId="26" w16cid:durableId="1678727307">
    <w:abstractNumId w:val="33"/>
  </w:num>
  <w:num w:numId="27" w16cid:durableId="200828522">
    <w:abstractNumId w:val="1"/>
  </w:num>
  <w:num w:numId="28" w16cid:durableId="1136794340">
    <w:abstractNumId w:val="19"/>
  </w:num>
  <w:num w:numId="29" w16cid:durableId="323899808">
    <w:abstractNumId w:val="32"/>
  </w:num>
  <w:num w:numId="30" w16cid:durableId="1459645030">
    <w:abstractNumId w:val="10"/>
  </w:num>
  <w:num w:numId="31" w16cid:durableId="1728795313">
    <w:abstractNumId w:val="3"/>
  </w:num>
  <w:num w:numId="32" w16cid:durableId="1689988989">
    <w:abstractNumId w:val="36"/>
  </w:num>
  <w:num w:numId="33" w16cid:durableId="1583682622">
    <w:abstractNumId w:val="30"/>
  </w:num>
  <w:num w:numId="34" w16cid:durableId="1930195796">
    <w:abstractNumId w:val="22"/>
  </w:num>
  <w:num w:numId="35" w16cid:durableId="119082133">
    <w:abstractNumId w:val="0"/>
  </w:num>
  <w:num w:numId="36" w16cid:durableId="1920166234">
    <w:abstractNumId w:val="12"/>
  </w:num>
  <w:num w:numId="37" w16cid:durableId="17784357">
    <w:abstractNumId w:val="17"/>
  </w:num>
  <w:num w:numId="38" w16cid:durableId="1012492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27"/>
    <w:rsid w:val="000628D0"/>
    <w:rsid w:val="00164177"/>
    <w:rsid w:val="001A1D84"/>
    <w:rsid w:val="001B1B89"/>
    <w:rsid w:val="001D33C5"/>
    <w:rsid w:val="002B783A"/>
    <w:rsid w:val="003552E1"/>
    <w:rsid w:val="00374F9D"/>
    <w:rsid w:val="00392C1F"/>
    <w:rsid w:val="00396927"/>
    <w:rsid w:val="00397C24"/>
    <w:rsid w:val="003C6A6B"/>
    <w:rsid w:val="003D79F7"/>
    <w:rsid w:val="00480121"/>
    <w:rsid w:val="00493342"/>
    <w:rsid w:val="004C75EF"/>
    <w:rsid w:val="004F6874"/>
    <w:rsid w:val="004F68B4"/>
    <w:rsid w:val="00571869"/>
    <w:rsid w:val="005C6B98"/>
    <w:rsid w:val="005D7226"/>
    <w:rsid w:val="005E34C0"/>
    <w:rsid w:val="005F274A"/>
    <w:rsid w:val="006333DB"/>
    <w:rsid w:val="006442B4"/>
    <w:rsid w:val="00652BBE"/>
    <w:rsid w:val="006A1673"/>
    <w:rsid w:val="006F59A5"/>
    <w:rsid w:val="00760AB8"/>
    <w:rsid w:val="0079635F"/>
    <w:rsid w:val="007E1CB2"/>
    <w:rsid w:val="007F12DE"/>
    <w:rsid w:val="0081401C"/>
    <w:rsid w:val="0083736C"/>
    <w:rsid w:val="00852E2C"/>
    <w:rsid w:val="008B3058"/>
    <w:rsid w:val="008F2180"/>
    <w:rsid w:val="00913DD5"/>
    <w:rsid w:val="00925BB9"/>
    <w:rsid w:val="00930880"/>
    <w:rsid w:val="00931267"/>
    <w:rsid w:val="00934513"/>
    <w:rsid w:val="0099427F"/>
    <w:rsid w:val="0099470E"/>
    <w:rsid w:val="009C131A"/>
    <w:rsid w:val="009C2C81"/>
    <w:rsid w:val="009C6205"/>
    <w:rsid w:val="009F281C"/>
    <w:rsid w:val="00A2012E"/>
    <w:rsid w:val="00B20A75"/>
    <w:rsid w:val="00B65B20"/>
    <w:rsid w:val="00B932AE"/>
    <w:rsid w:val="00BC3633"/>
    <w:rsid w:val="00C21B3F"/>
    <w:rsid w:val="00C54172"/>
    <w:rsid w:val="00CC2941"/>
    <w:rsid w:val="00D23405"/>
    <w:rsid w:val="00D61604"/>
    <w:rsid w:val="00D620CF"/>
    <w:rsid w:val="00DA2768"/>
    <w:rsid w:val="00E1622F"/>
    <w:rsid w:val="00E31B6C"/>
    <w:rsid w:val="00E54536"/>
    <w:rsid w:val="00E551C9"/>
    <w:rsid w:val="00E7458C"/>
    <w:rsid w:val="00EA7A26"/>
    <w:rsid w:val="00EE6BE4"/>
    <w:rsid w:val="00EF51BC"/>
    <w:rsid w:val="00F57205"/>
    <w:rsid w:val="00FB43F5"/>
    <w:rsid w:val="00FB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986933"/>
  <w15:chartTrackingRefBased/>
  <w15:docId w15:val="{DF7A9C03-8216-486D-9906-F7FB1104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B89"/>
    <w:rPr>
      <w:rFonts w:ascii="IBM Plex Sans" w:eastAsia="Times New Roman" w:hAnsi="IBM Plex Sans" w:cs="Times New Roman"/>
      <w:color w:val="0F32B4"/>
    </w:rPr>
  </w:style>
  <w:style w:type="paragraph" w:styleId="Titre1">
    <w:name w:val="heading 1"/>
    <w:basedOn w:val="Titre1CUCM21"/>
    <w:next w:val="Normal"/>
    <w:link w:val="Titre1Car"/>
    <w:uiPriority w:val="9"/>
    <w:qFormat/>
    <w:rsid w:val="0083736C"/>
    <w:rPr>
      <w:color w:val="07195A" w:themeColor="background1" w:themeShade="80"/>
    </w:rPr>
  </w:style>
  <w:style w:type="paragraph" w:styleId="Titre2">
    <w:name w:val="heading 2"/>
    <w:basedOn w:val="Titre2CUCM21"/>
    <w:next w:val="Normal"/>
    <w:link w:val="Titre2Car"/>
    <w:uiPriority w:val="9"/>
    <w:unhideWhenUsed/>
    <w:qFormat/>
    <w:rsid w:val="0083736C"/>
    <w:pPr>
      <w:numPr>
        <w:ilvl w:val="1"/>
        <w:numId w:val="38"/>
      </w:numPr>
    </w:pPr>
    <w:rPr>
      <w:b/>
      <w:color w:val="07195A" w:themeColor="background1" w:themeShade="80"/>
      <w:sz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4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71E4C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45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2D73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UCM21Corps">
    <w:name w:val="CUCM21Corps"/>
    <w:basedOn w:val="Normal"/>
    <w:link w:val="CUCM21CorpsCar"/>
    <w:qFormat/>
    <w:rsid w:val="00493342"/>
    <w:pPr>
      <w:spacing w:before="120" w:after="120"/>
    </w:pPr>
    <w:rPr>
      <w:sz w:val="20"/>
    </w:rPr>
  </w:style>
  <w:style w:type="character" w:customStyle="1" w:styleId="CUCM21CorpsCar">
    <w:name w:val="CUCM21Corps Car"/>
    <w:basedOn w:val="Policepardfaut"/>
    <w:link w:val="CUCM21Corps"/>
    <w:rsid w:val="00493342"/>
    <w:rPr>
      <w:sz w:val="20"/>
    </w:rPr>
  </w:style>
  <w:style w:type="paragraph" w:customStyle="1" w:styleId="CUCM21Titre">
    <w:name w:val="CUCM21Titre"/>
    <w:basedOn w:val="CUCM21Corps"/>
    <w:next w:val="CUCM21Corps"/>
    <w:link w:val="CUCM21TitreCar"/>
    <w:qFormat/>
    <w:rsid w:val="00493342"/>
    <w:rPr>
      <w:color w:val="0F32B4" w:themeColor="background1"/>
      <w:sz w:val="24"/>
    </w:rPr>
  </w:style>
  <w:style w:type="character" w:customStyle="1" w:styleId="CUCM21TitreCar">
    <w:name w:val="CUCM21Titre Car"/>
    <w:basedOn w:val="CUCM21CorpsCar"/>
    <w:link w:val="CUCM21Titre"/>
    <w:rsid w:val="00493342"/>
    <w:rPr>
      <w:color w:val="0F32B4" w:themeColor="background1"/>
      <w:sz w:val="24"/>
    </w:rPr>
  </w:style>
  <w:style w:type="paragraph" w:customStyle="1" w:styleId="BlocDateCUCM21">
    <w:name w:val="BlocDate_CUCM21"/>
    <w:basedOn w:val="CorpsCUCM21"/>
    <w:next w:val="BlocSuivi"/>
    <w:link w:val="BlocDateCUCM21Car"/>
    <w:qFormat/>
    <w:rsid w:val="00493342"/>
    <w:pPr>
      <w:spacing w:line="240" w:lineRule="auto"/>
    </w:pPr>
    <w:rPr>
      <w:color w:val="0F1E5A" w:themeColor="text1"/>
      <w:sz w:val="19"/>
    </w:rPr>
  </w:style>
  <w:style w:type="character" w:customStyle="1" w:styleId="BlocDateCUCM21Car">
    <w:name w:val="BlocDate_CUCM21 Car"/>
    <w:basedOn w:val="CorpsCUCM21Car"/>
    <w:link w:val="BlocDateCUCM21"/>
    <w:rsid w:val="00493342"/>
    <w:rPr>
      <w:rFonts w:ascii="IBM Plex Sans" w:eastAsiaTheme="minorEastAsia" w:hAnsi="IBM Plex Sans" w:cs="Times New Roman"/>
      <w:color w:val="0F1E5A" w:themeColor="text1"/>
      <w:sz w:val="19"/>
    </w:rPr>
  </w:style>
  <w:style w:type="paragraph" w:customStyle="1" w:styleId="TitreCUCM21">
    <w:name w:val="Titre_CUCM21"/>
    <w:basedOn w:val="CorpsCUCM21"/>
    <w:next w:val="CorpsCUCM21"/>
    <w:link w:val="TitreCUCM21Car"/>
    <w:qFormat/>
    <w:rsid w:val="00493342"/>
    <w:rPr>
      <w:color w:val="0F32B4" w:themeColor="background1"/>
      <w:sz w:val="24"/>
    </w:rPr>
  </w:style>
  <w:style w:type="character" w:customStyle="1" w:styleId="TitreCUCM21Car">
    <w:name w:val="Titre_CUCM21 Car"/>
    <w:basedOn w:val="CorpsCUCM21Car"/>
    <w:link w:val="TitreCUCM21"/>
    <w:rsid w:val="00493342"/>
    <w:rPr>
      <w:rFonts w:ascii="IBM Plex Sans" w:eastAsiaTheme="minorEastAsia" w:hAnsi="IBM Plex Sans" w:cs="Times New Roman"/>
      <w:color w:val="0F32B4" w:themeColor="background1"/>
      <w:sz w:val="24"/>
    </w:rPr>
  </w:style>
  <w:style w:type="paragraph" w:customStyle="1" w:styleId="CorpsCUCM21">
    <w:name w:val="Corps_CUCM21"/>
    <w:basedOn w:val="Normal"/>
    <w:link w:val="CorpsCUCM21Car"/>
    <w:qFormat/>
    <w:rsid w:val="001B1B89"/>
  </w:style>
  <w:style w:type="character" w:customStyle="1" w:styleId="CorpsCUCM21Car">
    <w:name w:val="Corps_CUCM21 Car"/>
    <w:basedOn w:val="Policepardfaut"/>
    <w:link w:val="CorpsCUCM21"/>
    <w:rsid w:val="001B1B89"/>
    <w:rPr>
      <w:rFonts w:ascii="IBM Plex Sans" w:eastAsia="Times New Roman" w:hAnsi="IBM Plex Sans" w:cs="Times New Roman"/>
      <w:color w:val="0F32B4"/>
    </w:rPr>
  </w:style>
  <w:style w:type="paragraph" w:customStyle="1" w:styleId="BlocSuivi">
    <w:name w:val="BlocSuivi"/>
    <w:basedOn w:val="BlocDateCUCM21"/>
    <w:next w:val="BlocDestCUCM21"/>
    <w:link w:val="BlocSuiviCar"/>
    <w:qFormat/>
    <w:rsid w:val="00493342"/>
    <w:rPr>
      <w:color w:val="0F32B4" w:themeColor="background1"/>
    </w:rPr>
  </w:style>
  <w:style w:type="character" w:customStyle="1" w:styleId="BlocSuiviCar">
    <w:name w:val="BlocSuivi Car"/>
    <w:basedOn w:val="BlocDateCUCM21Car"/>
    <w:link w:val="BlocSuivi"/>
    <w:rsid w:val="00493342"/>
    <w:rPr>
      <w:rFonts w:ascii="IBM Plex Sans" w:eastAsiaTheme="minorEastAsia" w:hAnsi="IBM Plex Sans" w:cs="Times New Roman"/>
      <w:color w:val="0F32B4" w:themeColor="background1"/>
      <w:sz w:val="19"/>
    </w:rPr>
  </w:style>
  <w:style w:type="paragraph" w:customStyle="1" w:styleId="BlocDestCUCM21">
    <w:name w:val="BlocDest_CUCM21"/>
    <w:basedOn w:val="BlocSuivi"/>
    <w:next w:val="BlocObjetCUCM21"/>
    <w:link w:val="BlocDestCUCM21Car"/>
    <w:qFormat/>
    <w:rsid w:val="00493342"/>
    <w:pPr>
      <w:spacing w:line="288" w:lineRule="auto"/>
    </w:pPr>
  </w:style>
  <w:style w:type="character" w:customStyle="1" w:styleId="BlocDestCUCM21Car">
    <w:name w:val="BlocDest_CUCM21 Car"/>
    <w:basedOn w:val="BlocSuiviCar"/>
    <w:link w:val="BlocDestCUCM21"/>
    <w:rsid w:val="00493342"/>
    <w:rPr>
      <w:rFonts w:ascii="IBM Plex Sans" w:eastAsiaTheme="minorEastAsia" w:hAnsi="IBM Plex Sans" w:cs="Times New Roman"/>
      <w:color w:val="0F32B4" w:themeColor="background1"/>
      <w:sz w:val="19"/>
    </w:rPr>
  </w:style>
  <w:style w:type="paragraph" w:customStyle="1" w:styleId="BlocObjetCUCM21">
    <w:name w:val="BlocObjet_CUCM21"/>
    <w:basedOn w:val="BlocDestCUCM21"/>
    <w:link w:val="BlocObjetCUCM21Car"/>
    <w:qFormat/>
    <w:rsid w:val="00493342"/>
    <w:pPr>
      <w:jc w:val="both"/>
    </w:pPr>
    <w:rPr>
      <w:b/>
      <w:sz w:val="24"/>
    </w:rPr>
  </w:style>
  <w:style w:type="character" w:customStyle="1" w:styleId="BlocObjetCUCM21Car">
    <w:name w:val="BlocObjet_CUCM21 Car"/>
    <w:basedOn w:val="BlocDestCUCM21Car"/>
    <w:link w:val="BlocObjetCUCM21"/>
    <w:rsid w:val="00493342"/>
    <w:rPr>
      <w:rFonts w:ascii="IBM Plex Sans" w:eastAsiaTheme="minorEastAsia" w:hAnsi="IBM Plex Sans" w:cs="Times New Roman"/>
      <w:b/>
      <w:color w:val="0F32B4" w:themeColor="background1"/>
      <w:sz w:val="24"/>
    </w:rPr>
  </w:style>
  <w:style w:type="paragraph" w:customStyle="1" w:styleId="BlocSignCUCM21">
    <w:name w:val="BlocSign_CUCM21"/>
    <w:basedOn w:val="BlocObjetCUCM21"/>
    <w:link w:val="BlocSignCUCM21Car"/>
    <w:qFormat/>
    <w:rsid w:val="00493342"/>
    <w:pPr>
      <w:spacing w:line="240" w:lineRule="auto"/>
      <w:jc w:val="left"/>
    </w:pPr>
    <w:rPr>
      <w:b w:val="0"/>
    </w:rPr>
  </w:style>
  <w:style w:type="character" w:customStyle="1" w:styleId="BlocSignCUCM21Car">
    <w:name w:val="BlocSign_CUCM21 Car"/>
    <w:basedOn w:val="BlocObjetCUCM21Car"/>
    <w:link w:val="BlocSignCUCM21"/>
    <w:rsid w:val="00493342"/>
    <w:rPr>
      <w:rFonts w:ascii="IBM Plex Sans" w:eastAsiaTheme="minorEastAsia" w:hAnsi="IBM Plex Sans" w:cs="Times New Roman"/>
      <w:b w:val="0"/>
      <w:color w:val="0F32B4" w:themeColor="background1"/>
      <w:sz w:val="24"/>
    </w:rPr>
  </w:style>
  <w:style w:type="paragraph" w:customStyle="1" w:styleId="Titre2CUCM21">
    <w:name w:val="Titre2_CUCM21"/>
    <w:basedOn w:val="Normal"/>
    <w:next w:val="CorpsCUCM21"/>
    <w:link w:val="Titre2CUCM21Car"/>
    <w:qFormat/>
    <w:rsid w:val="001B1B89"/>
    <w:pPr>
      <w:spacing w:after="240" w:line="288" w:lineRule="auto"/>
      <w:ind w:left="708"/>
      <w:outlineLvl w:val="1"/>
    </w:pPr>
    <w:rPr>
      <w:rFonts w:eastAsiaTheme="minorEastAsia"/>
      <w:i/>
      <w:color w:val="0F32B4" w:themeColor="background1"/>
      <w:sz w:val="28"/>
      <w:szCs w:val="20"/>
      <w:u w:val="single"/>
      <w:lang w:val="en-US"/>
    </w:rPr>
  </w:style>
  <w:style w:type="character" w:customStyle="1" w:styleId="Titre2CUCM21Car">
    <w:name w:val="Titre2_CUCM21 Car"/>
    <w:basedOn w:val="Policepardfaut"/>
    <w:link w:val="Titre2CUCM21"/>
    <w:rsid w:val="001B1B89"/>
    <w:rPr>
      <w:rFonts w:ascii="IBM Plex Sans" w:eastAsiaTheme="minorEastAsia" w:hAnsi="IBM Plex Sans" w:cs="Times New Roman"/>
      <w:i/>
      <w:color w:val="0F32B4" w:themeColor="background1"/>
      <w:sz w:val="28"/>
      <w:szCs w:val="20"/>
      <w:u w:val="single"/>
      <w:lang w:val="en-US"/>
    </w:rPr>
  </w:style>
  <w:style w:type="paragraph" w:customStyle="1" w:styleId="Titre1CUCM21">
    <w:name w:val="Titre1_CUCM21"/>
    <w:basedOn w:val="Normal"/>
    <w:next w:val="CorpsCUCM21"/>
    <w:link w:val="Titre1CUCM21Car"/>
    <w:qFormat/>
    <w:rsid w:val="00B20A75"/>
    <w:pPr>
      <w:keepNext/>
      <w:keepLines/>
      <w:numPr>
        <w:numId w:val="1"/>
      </w:numPr>
      <w:spacing w:before="240"/>
      <w:outlineLvl w:val="0"/>
    </w:pPr>
    <w:rPr>
      <w:b/>
      <w:sz w:val="32"/>
      <w:szCs w:val="32"/>
    </w:rPr>
  </w:style>
  <w:style w:type="character" w:customStyle="1" w:styleId="Titre1CUCM21Car">
    <w:name w:val="Titre1_CUCM21 Car"/>
    <w:basedOn w:val="CorpsCUCM21Car"/>
    <w:link w:val="Titre1CUCM21"/>
    <w:rsid w:val="00B20A75"/>
    <w:rPr>
      <w:rFonts w:ascii="IBM Plex Sans" w:eastAsia="Times New Roman" w:hAnsi="IBM Plex Sans" w:cs="Times New Roman"/>
      <w:b/>
      <w:color w:val="0F32B4"/>
      <w:sz w:val="32"/>
      <w:szCs w:val="32"/>
    </w:rPr>
  </w:style>
  <w:style w:type="paragraph" w:customStyle="1" w:styleId="Titre3CUCM21">
    <w:name w:val="Titre3_CUCM21"/>
    <w:basedOn w:val="Normal"/>
    <w:next w:val="CorpsCUCM21"/>
    <w:link w:val="Titre3CUCM21Car"/>
    <w:qFormat/>
    <w:rsid w:val="001B1B89"/>
    <w:rPr>
      <w:b/>
      <w:u w:val="single"/>
      <w:lang w:val="en-US"/>
    </w:rPr>
  </w:style>
  <w:style w:type="character" w:customStyle="1" w:styleId="Titre3CUCM21Car">
    <w:name w:val="Titre3_CUCM21 Car"/>
    <w:basedOn w:val="Titre2CUCM21Car"/>
    <w:link w:val="Titre3CUCM21"/>
    <w:rsid w:val="001B1B89"/>
    <w:rPr>
      <w:rFonts w:ascii="IBM Plex Sans" w:eastAsia="Times New Roman" w:hAnsi="IBM Plex Sans" w:cs="Times New Roman"/>
      <w:b/>
      <w:i w:val="0"/>
      <w:color w:val="0F32B4"/>
      <w:sz w:val="28"/>
      <w:szCs w:val="20"/>
      <w:u w:val="single"/>
      <w:lang w:val="en-US"/>
    </w:rPr>
  </w:style>
  <w:style w:type="paragraph" w:styleId="TM1">
    <w:name w:val="toc 1"/>
    <w:basedOn w:val="CUCM21Corps"/>
    <w:next w:val="Normal"/>
    <w:autoRedefine/>
    <w:uiPriority w:val="39"/>
    <w:unhideWhenUsed/>
    <w:rsid w:val="009C6205"/>
    <w:pPr>
      <w:tabs>
        <w:tab w:val="left" w:pos="440"/>
        <w:tab w:val="right" w:leader="dot" w:pos="9770"/>
      </w:tabs>
      <w:spacing w:before="0" w:after="0" w:line="288" w:lineRule="auto"/>
    </w:pPr>
    <w:rPr>
      <w:rFonts w:asciiTheme="majorHAnsi" w:eastAsiaTheme="minorEastAsia" w:hAnsiTheme="majorHAnsi"/>
      <w:noProof/>
      <w:color w:val="0F1E5A" w:themeColor="text1"/>
      <w:sz w:val="28"/>
    </w:rPr>
  </w:style>
  <w:style w:type="paragraph" w:customStyle="1" w:styleId="Titre11">
    <w:name w:val="Titre 11"/>
    <w:basedOn w:val="Normal"/>
    <w:next w:val="Normal"/>
    <w:uiPriority w:val="9"/>
    <w:qFormat/>
    <w:rsid w:val="00396927"/>
    <w:pPr>
      <w:keepNext/>
      <w:keepLines/>
      <w:spacing w:before="240"/>
      <w:outlineLvl w:val="0"/>
    </w:pPr>
    <w:rPr>
      <w:rFonts w:ascii="Calibri Light" w:hAnsi="Calibri Light"/>
      <w:color w:val="0B1643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83736C"/>
    <w:rPr>
      <w:rFonts w:ascii="IBM Plex Sans" w:eastAsia="Times New Roman" w:hAnsi="IBM Plex Sans" w:cs="Times New Roman"/>
      <w:b/>
      <w:color w:val="07195A" w:themeColor="background1" w:themeShade="80"/>
      <w:sz w:val="32"/>
      <w:szCs w:val="32"/>
    </w:rPr>
  </w:style>
  <w:style w:type="character" w:customStyle="1" w:styleId="Titre1Car1">
    <w:name w:val="Titre 1 Car1"/>
    <w:basedOn w:val="Policepardfaut"/>
    <w:uiPriority w:val="9"/>
    <w:rsid w:val="00396927"/>
    <w:rPr>
      <w:rFonts w:asciiTheme="majorHAnsi" w:eastAsiaTheme="majorEastAsia" w:hAnsiTheme="majorHAnsi" w:cstheme="majorBidi"/>
      <w:color w:val="832D73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39692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6874"/>
    <w:rPr>
      <w:color w:val="46C8FA" w:themeColor="hyperlink"/>
      <w:u w:val="single"/>
    </w:rPr>
  </w:style>
  <w:style w:type="table" w:styleId="Grilledutableau">
    <w:name w:val="Table Grid"/>
    <w:basedOn w:val="TableauNormal"/>
    <w:uiPriority w:val="39"/>
    <w:rsid w:val="004F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C75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C75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C75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75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75E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75E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75E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0A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60AB8"/>
  </w:style>
  <w:style w:type="paragraph" w:styleId="Pieddepage">
    <w:name w:val="footer"/>
    <w:basedOn w:val="Normal"/>
    <w:link w:val="PieddepageCar"/>
    <w:uiPriority w:val="99"/>
    <w:unhideWhenUsed/>
    <w:rsid w:val="00760A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60AB8"/>
  </w:style>
  <w:style w:type="character" w:customStyle="1" w:styleId="Titre3Car">
    <w:name w:val="Titre 3 Car"/>
    <w:basedOn w:val="Policepardfaut"/>
    <w:link w:val="Titre3"/>
    <w:uiPriority w:val="9"/>
    <w:semiHidden/>
    <w:rsid w:val="00934513"/>
    <w:rPr>
      <w:rFonts w:asciiTheme="majorHAnsi" w:eastAsiaTheme="majorEastAsia" w:hAnsiTheme="majorHAnsi" w:cstheme="majorBidi"/>
      <w:color w:val="571E4C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34513"/>
    <w:rPr>
      <w:rFonts w:asciiTheme="majorHAnsi" w:eastAsiaTheme="majorEastAsia" w:hAnsiTheme="majorHAnsi" w:cstheme="majorBidi"/>
      <w:i/>
      <w:iCs/>
      <w:color w:val="832D73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3451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4513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B1B89"/>
    <w:pPr>
      <w:outlineLvl w:val="9"/>
    </w:pPr>
    <w:rPr>
      <w:rFonts w:asciiTheme="majorHAnsi" w:eastAsiaTheme="majorEastAsia" w:hAnsiTheme="majorHAnsi" w:cstheme="majorBidi"/>
      <w:color w:val="571E4D" w:themeColor="accent1" w:themeShade="80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1B1B89"/>
    <w:pPr>
      <w:spacing w:after="100"/>
      <w:ind w:left="220"/>
    </w:pPr>
    <w:rPr>
      <w:rFonts w:asciiTheme="minorHAnsi" w:eastAsiaTheme="minorEastAsia" w:hAnsiTheme="minorHAnsi"/>
      <w:color w:val="auto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1B1B89"/>
    <w:pPr>
      <w:spacing w:after="100"/>
      <w:ind w:left="440"/>
    </w:pPr>
    <w:rPr>
      <w:rFonts w:asciiTheme="minorHAnsi" w:eastAsiaTheme="minorEastAsia" w:hAnsiTheme="minorHAnsi"/>
      <w:color w:val="auto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3736C"/>
    <w:rPr>
      <w:rFonts w:ascii="IBM Plex Sans" w:eastAsiaTheme="minorEastAsia" w:hAnsi="IBM Plex Sans" w:cs="Times New Roman"/>
      <w:b/>
      <w:i/>
      <w:color w:val="07195A" w:themeColor="background1" w:themeShade="80"/>
      <w:sz w:val="24"/>
      <w:szCs w:val="20"/>
      <w:u w:val="single"/>
      <w:lang w:val="en-US"/>
    </w:rPr>
  </w:style>
  <w:style w:type="paragraph" w:styleId="Titre">
    <w:name w:val="Title"/>
    <w:basedOn w:val="Normal"/>
    <w:next w:val="Normal"/>
    <w:link w:val="TitreCar"/>
    <w:uiPriority w:val="10"/>
    <w:qFormat/>
    <w:rsid w:val="0083736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373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L:\062300_PREVENTION\Z_COMMUN\03_APPEL_A_PROJETS_PREVENTION\AAP_MoinsDDechet\AAP2025\03-Foire%20aux%20question%20VTest_LP%20A%20revoir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L:\062300_PREVENTION\Z_COMMUN\03_APPEL_A_PROJETS_PREVENTION\AAP_MoinsDDechet\AAP2025\03-Foire%20aux%20question%20VTest_LP%20A%20revoir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file:///L:\062300_PREVENTION\Z_COMMUN\03_APPEL_A_PROJETS_PREVENTION\AAP_MoinsDDechet\AAP2025\03-Foire%20aux%20question%20VTest_LP%20A%20revoir.docx" TargetMode="Externa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cid:image005.png@01DB7C92.320C54E0" TargetMode="External"/><Relationship Id="rId14" Type="http://schemas.openxmlformats.org/officeDocument/2006/relationships/hyperlink" Target="file:///L:\062300_PREVENTION\Z_COMMUN\03_APPEL_A_PROJETS_PREVENTION\AAP_MoinsDDechet\AAP2025\03-Foire%20aux%20question%20VTest_LP%20A%20revoir.doc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UCM21">
      <a:dk1>
        <a:srgbClr val="0F1E5A"/>
      </a:dk1>
      <a:lt1>
        <a:srgbClr val="0F32B4"/>
      </a:lt1>
      <a:dk2>
        <a:srgbClr val="3CAFF5"/>
      </a:dk2>
      <a:lt2>
        <a:srgbClr val="5F50AF"/>
      </a:lt2>
      <a:accent1>
        <a:srgbClr val="AF3C9B"/>
      </a:accent1>
      <a:accent2>
        <a:srgbClr val="E63250"/>
      </a:accent2>
      <a:accent3>
        <a:srgbClr val="F08223"/>
      </a:accent3>
      <a:accent4>
        <a:srgbClr val="FABE3C"/>
      </a:accent4>
      <a:accent5>
        <a:srgbClr val="C8B49B"/>
      </a:accent5>
      <a:accent6>
        <a:srgbClr val="00C3B4"/>
      </a:accent6>
      <a:hlink>
        <a:srgbClr val="46C8FA"/>
      </a:hlink>
      <a:folHlink>
        <a:srgbClr val="954F72"/>
      </a:folHlink>
    </a:clrScheme>
    <a:fontScheme name="CUCM21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07234-1255-490F-A336-5E195C3E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1133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CUCM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PERRICHON</dc:creator>
  <cp:keywords/>
  <dc:description/>
  <cp:lastModifiedBy>Solène PERRIN</cp:lastModifiedBy>
  <cp:revision>9</cp:revision>
  <cp:lastPrinted>2024-01-08T15:37:00Z</cp:lastPrinted>
  <dcterms:created xsi:type="dcterms:W3CDTF">2025-01-23T10:09:00Z</dcterms:created>
  <dcterms:modified xsi:type="dcterms:W3CDTF">2025-04-11T05:53:00Z</dcterms:modified>
</cp:coreProperties>
</file>